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POLYTECHNIQUE - ÉCOLES NORMALES SUPÉRIEURES ÉCOLE SUPÉRIEURE DE PHYSIQUE ET DE CHIMIE INDUSTRIELLES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COMPOSITION DE MATHEMATIQUES (XEULC)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nombre entier naturel supérieur ou égal à 2 et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nombres entiers compris entre 1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désigne le corps des nombres complexes. Le module d'un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désigne l'espace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colonnes, à coefficients dans </w:t>
      </w:r>
      <m:oMath>
        <m:r>
          <m:rPr>
            <m:scr m:val="double-struck"/>
          </m:rPr>
          <m:t>C</m:t>
        </m:r>
      </m:oMath>
      <w:r>
        <w:rPr/>
        <w:t xml:space="preserve"> (resp.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). La matrice transposée d'une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identifié à l'espace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à coefficients dans </w:t>
      </w:r>
      <m:oMath>
        <m:r>
          <m:rPr>
            <m:scr m:val="double-struck"/>
          </m:rPr>
          <m:t>C</m:t>
        </m:r>
      </m:oMath>
      <w:r>
        <w:rPr/>
        <w:t xml:space="preserve">. Les coefficients d'un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sont notés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Dans tout le problème,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muni de la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‖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identifiée au nombre complexe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Le sous-espace vectoriel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engendré par un vecteur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cr m:val="double-struck"/>
          </m:rPr>
          <m:t>C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positive (resp. strictement positive) lorsque tous ses coefficients sont des réels positifs (resp. strictement positifs). Cette propriété est notée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(resp.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notera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i"/>
          </m:rPr>
          <m:t>B</m:t>
        </m:r>
      </m:oMath>
      <w:r>
        <w:rPr/>
        <w:t xml:space="preserve"> (resp.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la propriété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(resp.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 Ainsi, pour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r>
            <m:rPr>
              <m:sty m:val="i"/>
            </m:rPr>
            <m:t>y</m:t>
          </m:r>
          <m:r>
            <m:rPr>
              <m:sty m:val="p"/>
            </m:rPr>
            <m:t>⟺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 on utilisera la notation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resp</m:t>
            </m:r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resp</m:t>
            </m:r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La matrice diagonale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sera notée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en général identifiée à l'endomorphisme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représenté par </w:t>
      </w:r>
      <m:oMath>
        <m:r>
          <m:rPr>
            <m:sty m:val="i"/>
          </m:rPr>
          <m:t>M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: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. On appelle spectre d'une matrice</w:t>
      </w:r>
      <w:r>
        <w:rPr/>
        <w:br w:type="textWrapping"/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et 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l'ensemble des valeurs propres de </w:t>
      </w:r>
      <m:oMath>
        <m:r>
          <m:rPr>
            <m:sty m:val="i"/>
          </m:rPr>
          <m:t>M</m:t>
        </m:r>
      </m:oMath>
      <w:r>
        <w:rPr/>
        <w:t xml:space="preserve">. Le rayon spectral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défini comme le maximum des modules des valeurs propres de </w:t>
      </w:r>
      <m:oMath>
        <m:r>
          <m:rPr>
            <m:sty m:val="i"/>
          </m:rPr>
          <m:t>M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;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a)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montrer l'équivalence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⟺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:</m:t>
          </m:r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b) Montrer que l'application </w:t>
      </w:r>
      <m:oMath>
        <m:r>
          <m:rPr>
            <m:sty m:val="i"/>
          </m:rPr>
          <m:t>M</m:t>
        </m:r>
        <m:r>
          <m:rPr>
            <m:sty m:val="p"/>
          </m:rPr>
          <m:t>⟼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</m:oMath>
      <w:r>
        <w:rPr/>
        <w:t xml:space="preserve"> est une norme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Montrer que pour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coefficient de </w:t>
      </w:r>
      <m:oMath>
        <m:r>
          <m:rPr>
            <m:sty m:val="i"/>
          </m:rPr>
          <m:t>A</m:t>
        </m:r>
      </m:oMath>
      <w:r>
        <w:rPr/>
        <w:t xml:space="preserve"> d'indice de ligne </w:t>
      </w:r>
      <m:oMath>
        <m:r>
          <m:rPr>
            <m:sty m:val="i"/>
          </m:rPr>
          <m:t>i</m:t>
        </m:r>
      </m:oMath>
      <w:r>
        <w:rPr/>
        <w:t xml:space="preserve"> et d'indice de colonne </w:t>
      </w:r>
      <m:oMath>
        <m:r>
          <m:rPr>
            <m:sty m:val="i"/>
          </m:rPr>
          <m:t>j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dit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converge vers 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lorsque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converge vers </w:t>
      </w:r>
      <m:oMath>
        <m:r>
          <m:rPr>
            <m:sty m:val="i"/>
          </m:rPr>
          <m:t>B</m:t>
        </m:r>
      </m:oMath>
      <w:r>
        <w:rPr/>
        <w:t xml:space="preserve"> si et seulement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considère dans cette question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triangulaire supérieure,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suppose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 Que se passe-t-il lorsqu'on fait tendre </w:t>
      </w:r>
      <m:oMath>
        <m:r>
          <m:rPr>
            <m:sty m:val="i"/>
          </m:rPr>
          <m:t>b</m:t>
        </m:r>
      </m:oMath>
      <w:r>
        <w:rPr/>
        <w:t xml:space="preserve"> vers 0 ?</w:t>
      </w:r>
      <w:r>
        <w:rPr/>
        <w:br w:type="textWrapping"/>
      </w:r>
      <w:r>
        <w:rPr/>
        <w:t xml:space="preserve">b) Montrer qu'il existe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bSup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 rayon spectral des matrices suivantes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Dire, en justifiant brièvement la réponse, si les assertions suivantes sont exactes quels que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μ</m:t>
        </m:r>
        <m:r>
          <m:rPr>
            <m:sty m:val="p"/>
          </m:rPr>
          <m:t>|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iv)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inversible, </w:t>
      </w:r>
      <m:oMath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P</m:t>
            </m:r>
          </m:e>
        </m:d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v) </w:t>
      </w:r>
      <m:oMath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9 à 11, on considère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 Montrer que si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0 .</w:t>
      </w:r>
      <w:r>
        <w:rPr/>
        <w:br w:type="textWrapping"/>
      </w:r>
      <w:r>
        <w:rPr/>
        <w:t xml:space="preserve">10. a)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⩾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la partie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limLow>
                    <m:limLowPr/>
                    <m:e>
                      <m:r>
                        <m:rPr>
                          <m:sty m:val="p"/>
                        </m:rPr>
                        <m:t>lim</m:t>
                      </m:r>
                    </m:e>
                    <m:lim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→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num>
                            <m:den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11. Montrer la formule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l'inégalité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ρ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A</m:t>
        </m:r>
      </m:oMath>
      <w:r>
        <w:rPr/>
        <w:t xml:space="preserve"> est une matrice strictement positive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démontrer les propriétés suivantes.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valeur propre de </w:t>
      </w:r>
      <m:oMath>
        <m:r>
          <m:rPr>
            <m:sty m:val="i"/>
          </m:rPr>
          <m:t>A</m:t>
        </m:r>
      </m:oMath>
      <w:r>
        <w:rPr/>
        <w:t xml:space="preserve"> et toute autre valeur propre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racine simple du polynôme caractéristique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engendré par un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dont toutes les composantes sont strictement positives.</w:t>
      </w:r>
      <w:r>
        <w:rPr/>
        <w:br w:type="textWrapping"/>
      </w:r>
      <w:r>
        <w:rPr/>
        <w:t xml:space="preserve">(iii) Si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/>
        <w:t xml:space="preserve"> dont toutes les composantes sont positives, alors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(iv) Pour tout vecteur positif non nul </w:t>
      </w:r>
      <m:oMath>
        <m:r>
          <m:rPr>
            <m:sty m:val="i"/>
          </m:rPr>
          <m:t>x</m:t>
        </m:r>
      </m:oMath>
      <w:r>
        <w:rPr/>
        <w:t xml:space="preserve">, 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13. 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nombres complexes. Montrer que si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alors le vecteur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colinéaire au vecteur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14. 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Montrer que si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i"/>
          </m:rPr>
          <m:t>μ</m:t>
        </m:r>
      </m:oMath>
      <w:r>
        <w:rPr/>
        <w:t xml:space="preserve">, alors on a l'implication suivante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μ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⟹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suppose qu'il existe un réel positif </w:t>
      </w:r>
      <m:oMath>
        <m:r>
          <m:rPr>
            <m:sty m:val="i"/>
          </m:rPr>
          <m:t>μ</m:t>
        </m:r>
      </m:oMath>
      <w:r>
        <w:rPr/>
        <w:t xml:space="preserve"> et un vecteur positif non nul </w:t>
      </w:r>
      <m:oMath>
        <m:r>
          <m:rPr>
            <m:sty m:val="i"/>
          </m:rPr>
          <m:t>w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i"/>
          </m:rPr>
          <m:t>w</m:t>
        </m:r>
        <m:r>
          <m:rPr>
            <m:sty m:val="p"/>
          </m:rPr>
          <m:t>⩾</m:t>
        </m:r>
        <m:r>
          <m:rPr>
            <m:sty m:val="i"/>
          </m:rPr>
          <m:t>μ</m:t>
        </m:r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w</m:t>
        </m:r>
        <m:r>
          <m:rPr>
            <m:sty m:val="p"/>
          </m:rPr>
          <m:t>⩾</m:t>
        </m:r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A</m:t>
        </m:r>
        <m:r>
          <m:rPr>
            <m:sty m:val="i"/>
          </m:rPr>
          <m:t>w</m:t>
        </m:r>
        <m:r>
          <m:rPr>
            <m:sty m:val="p"/>
          </m:rPr>
          <m:t>&gt;</m:t>
        </m:r>
        <m:r>
          <m:rPr>
            <m:sty m:val="i"/>
          </m:rPr>
          <m:t>μ</m:t>
        </m:r>
        <m:r>
          <m:rPr>
            <m:sty m:val="i"/>
          </m:rPr>
          <m:t>w</m:t>
        </m:r>
      </m:oMath>
      <w:r>
        <w:rPr/>
        <w:t xml:space="preserve">, alors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suppose à présent que dans le système d'inégalités </w:t>
      </w:r>
      <m:oMath>
        <m:r>
          <m:rPr>
            <m:sty m:val="i"/>
          </m:rPr>
          <m:t>A</m:t>
        </m:r>
        <m:r>
          <m:rPr>
            <m:sty m:val="i"/>
          </m:rPr>
          <m:t>w</m:t>
        </m:r>
        <m:r>
          <m:rPr>
            <m:sty m:val="p"/>
          </m:rPr>
          <m:t>⩾</m:t>
        </m:r>
        <m:r>
          <m:rPr>
            <m:sty m:val="i"/>
          </m:rPr>
          <m:t>μ</m:t>
        </m:r>
        <m:r>
          <m:rPr>
            <m:sty m:val="i"/>
          </m:rPr>
          <m:t>w</m:t>
        </m:r>
      </m:oMath>
      <w:r>
        <w:rPr/>
        <w:t xml:space="preserve">,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inégalité est stricte, c'est-à-dire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&gt;</m:t>
          </m:r>
          <m:r>
            <m:rPr>
              <m:sty m:val="i"/>
            </m:rPr>
            <m:t>μ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qu'il existe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en posant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i"/>
          </m:rPr>
          <m:t>k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ϵ</m:t>
        </m:r>
      </m:oMath>
      <w:r>
        <w:rPr/>
        <w:t xml:space="preserve">, on a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i"/>
          </m:rPr>
          <m:t>μ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A</m:t>
        </m:r>
      </m:oMath>
      <w:r>
        <w:rPr/>
        <w:t xml:space="preserve"> de module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. On définit le vecteur positif non nul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⩾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puis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colinéaire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propriété (i) est démontrée.</w:t>
      </w:r>
      <w:r>
        <w:rPr/>
        <w:br w:type="textWrapping"/>
      </w:r>
      <w:r>
        <w:rPr>
          <w:rFonts w:eastAsia="Georgia" w:cs="Georgia" w:ascii="Georgia" w:hAnsi="Georgia"/>
        </w:rPr>
        <w:t xml:space="preserve">17. En appliquant les résultats précédents à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, on obtient l'existence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dont toutes les composantes sont strictement positives,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stable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 et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⊕</m:t>
          </m:r>
          <m:r>
            <m:rPr>
              <m:scr m:val="double-struck"/>
            </m:rPr>
            <m:t>C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 si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une valeur propre </w:t>
      </w:r>
      <m:oMath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déduire la propriété (iii).</w:t>
      </w:r>
      <w:r>
        <w:rPr/>
        <w:br w:type="textWrapping"/>
      </w:r>
      <w:r>
        <w:rPr/>
        <w:t xml:space="preserve">18. a) On note </w:t>
      </w:r>
      <m:oMath>
        <m:r>
          <m:rPr>
            <m:sty m:val="i"/>
          </m:rPr>
          <m:t>ψ</m:t>
        </m:r>
      </m:oMath>
      <w:r>
        <w:rPr/>
        <w:t xml:space="preserve"> l'endomorphisme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 comme la restriction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. Montrer que toutes les valeurs propres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sont de module strictement inférieur à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racine simple du polynôme caractéristique de </w:t>
      </w:r>
      <m:oMath>
        <m:r>
          <m:rPr>
            <m:sty m:val="i"/>
          </m:rPr>
          <m:t>A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C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propriété (ii) est démontrée.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vecteur positif non-nul. Déterminer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 lorsque </w:t>
      </w:r>
      <m:oMath>
        <m:r>
          <m:rPr>
            <m:sty m:val="i"/>
          </m:rPr>
          <m:t>k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propriété (iv) est démontrée.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