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SUPÉRIEURS DE L'AÉRONAUTIQUE ET DE L'ESPACE DE TECHNIQUES AVANCÉES, DES TÉLECOMMUNICATIONS, DES MINES DE PARIS, DES MINES DE SAINT-ÉTIENNE, DES MINES DE NANCY, DES TÉLÉCOMMUNICATIONS DE BRETAGNE ÉCOLE POLYTECHNIQUE (FILIERE TSI)</w:t>
      </w:r>
    </w:p>
    <w:p>
      <w:pPr>
        <w:spacing w:after="220" w:lineRule="auto"/>
      </w:pPr>
      <w:r>
        <w:rPr/>
        <w:t xml:space="preserve">CONCOURS D'ADMISSION</w:t>
      </w:r>
      <w:r>
        <w:rPr/>
        <w:br w:type="textWrapping"/>
      </w:r>
      <w:r>
        <w:rPr>
          <w:rFonts w:eastAsia="Georgia" w:cs="Georgia" w:ascii="Georgia" w:hAnsi="Georgia"/>
        </w:rPr>
        <w:t xml:space="preserve">PREMIÈRE ÉPREUVE DE PHYSIQUE</w:t>
      </w:r>
    </w:p>
    <w:p>
      <w:pPr>
        <w:spacing w:lineRule="auto"/>
        <w:ind w:left="2265" w:right="2265"/>
        <w:jc w:val="center"/>
      </w:pPr>
      <w:r>
        <w:rPr>
          <w:rFonts w:eastAsia="Georgia" w:cs="Georgia" w:ascii="Georgia" w:hAnsi="Georgia"/>
        </w:rPr>
        <w:t xml:space="preserve">Filière PC</w:t>
      </w:r>
    </w:p>
    <w:p>
      <w:pPr>
        <w:spacing w:lineRule="auto"/>
        <w:ind w:left="2265" w:right="2265"/>
        <w:jc w:val="center"/>
      </w:pPr>
      <w:r>
        <w:rPr>
          <w:rFonts w:eastAsia="Georgia" w:cs="Georgia" w:ascii="Georgia" w:hAnsi="Georgia"/>
        </w:rPr>
        <w:t xml:space="preserve">(Durée de l'épreuve : </w:t>
      </w:r>
      <w:r>
        <w:rPr/>
      </w:r>
      <m:oMath>
        <m:r>
          <m:rPr>
            <m:sty m:val="b"/>
          </m:rPr>
          <m:t>3</m:t>
        </m:r>
      </m:oMath>
      <w:r>
        <w:rPr>
          <w:rFonts w:eastAsia="Georgia" w:cs="Georgia" w:ascii="Georgia" w:hAnsi="Georgia"/>
        </w:rPr>
        <w:t xml:space="preserve"> heures; l'usage de la calculatrice est autorisé)</w:t>
      </w:r>
    </w:p>
    <w:p>
      <w:pPr>
        <w:spacing w:lineRule="auto"/>
        <w:ind w:left="2265" w:right="2265"/>
        <w:jc w:val="center"/>
      </w:pPr>
      <w:r>
        <w:rPr>
          <w:rFonts w:eastAsia="Georgia" w:cs="Georgia" w:ascii="Georgia" w:hAnsi="Georgia"/>
        </w:rPr>
        <w:t xml:space="preserve">Sujet mis à disposition des concours : Cycle international, ENSTIM, INT, TPEEIVP</w:t>
      </w:r>
    </w:p>
    <w:p>
      <w:pPr>
        <w:spacing w:after="220" w:lineRule="auto"/>
      </w:pPr>
      <w:r>
        <w:rPr>
          <w:rFonts w:eastAsia="Georgia" w:cs="Georgia" w:ascii="Georgia" w:hAnsi="Georgia"/>
        </w:rPr>
        <w:t xml:space="preserve">Les candidats sont priés de mentionner de façon apparente sur la première page de la copie :</w:t>
      </w:r>
      <w:r>
        <w:rPr/>
        <w:br w:type="textWrapping"/>
      </w:r>
      <w:r>
        <w:rPr>
          <w:rFonts w:eastAsia="Georgia" w:cs="Georgia" w:ascii="Georgia" w:hAnsi="Georgia"/>
        </w:rPr>
        <w:t xml:space="preserve">Physique I - Filière PC</w:t>
      </w:r>
      <w:r>
        <w:rPr/>
        <w:br w:type="textWrapping"/>
      </w:r>
      <w:r>
        <w:rPr>
          <w:rFonts w:eastAsia="Georgia" w:cs="Georgia" w:ascii="Georgia" w:hAnsi="Georgia"/>
        </w:rPr>
        <w:t xml:space="preserve">L'énoncé de cette épreuve, particulière aux candidats de la filière PC, comporte 6 pages.</w:t>
      </w:r>
    </w:p>
    <w:p>
      <w:pPr>
        <w:numPr>
          <w:ilvl w:val="0"/>
          <w:numId w:val="1"/>
        </w:numPr>
        <w:spacing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Il ne faudra pas hésiter à formuler tout commentaire qui vous semblera pertinent, même lorsque l'énoncé ne le demande pas explicitement. Le barème tiendra compte de ces initiatives ainsi que des qualités de rédaction de la copie.</w:t>
      </w:r>
    </w:p>
    <w:p>
      <w:pPr>
        <w:spacing w:line="271" w:before="330" w:lineRule="auto"/>
      </w:pPr>
      <w:r>
        <w:rPr>
          <w:b/>
          <w:sz w:val="42"/>
        </w:rPr>
        <w:t xml:space="preserve">La surface de la Lune</w:t>
      </w:r>
    </w:p>
    <w:p>
      <w:pPr>
        <w:spacing w:after="220" w:lineRule="auto"/>
      </w:pPr>
      <w:r>
        <w:rPr>
          <w:rFonts w:eastAsia="Georgia" w:cs="Georgia" w:ascii="Georgia" w:hAnsi="Georgia"/>
        </w:rPr>
        <w:t xml:space="preserve">On se propose d'étudier quelques caractéristiques de la surface lunaire : la température de surface, la diffusion de la lumière par le sol lunaire, le sol lunaire proprement dit et l'absence d'atmosphère gazeuse. Les diverses parties sont indépendantes entre elles.</w:t>
      </w:r>
    </w:p>
    <w:p>
      <w:pPr>
        <w:numPr>
          <w:ilvl w:val="0"/>
          <w:numId w:val="2"/>
        </w:numPr>
        <w:spacing w:lineRule="auto"/>
      </w:pPr>
      <w:r>
        <w:rPr>
          <w:rFonts w:eastAsia="Georgia" w:cs="Georgia" w:ascii="Georgia" w:hAnsi="Georgia"/>
        </w:rPr>
        <w:t xml:space="preserve">Important : on trouvera en page 6 un ensemble de donnée relatives à ce problème; ces données complètent (ou, à l'occasion, répètent) celles qui sont données dans l'énoncé. Quelques-unes de ces données pourront servir plusieurs fois; d'autres n'ont de valeur qu'informative. Quand l'énoncé ne les indique pas, il appartient aux candidats de repérer et d'utiliser les données utiles pour la résolution de certaines questions.</w:t>
      </w:r>
    </w:p>
    <w:p>
      <w:pPr>
        <w:numPr>
          <w:ilvl w:val="0"/>
          <w:numId w:val="2"/>
        </w:numPr>
        <w:spacing w:lineRule="auto"/>
      </w:pPr>
      <w:r>
        <w:rPr>
          <w:rFonts w:eastAsia="Georgia" w:cs="Georgia" w:ascii="Georgia" w:hAnsi="Georgia"/>
        </w:rPr>
        <w:t xml:space="preserve">Les questions numérotées avec un astérisque (par exemple </w:t>
      </w:r>
      <m:oMath>
        <m:r>
          <m:rPr>
            <m:sty m:val="i"/>
          </m:rPr>
          <m:t>◻</m:t>
        </m:r>
        <m:sSup>
          <m:sSupPr/>
          <m:e>
            <m:r>
              <m:rPr>
                <m:sty m:val="b"/>
              </m:rPr>
              <m:t>1</m:t>
            </m:r>
          </m:e>
          <m:sup>
            <m:r>
              <m:rPr>
                <m:sty m:val="p"/>
              </m:rPr>
              <m:t>∗</m:t>
            </m:r>
          </m:sup>
        </m:sSup>
      </m:oMath>
      <w:r>
        <w:rPr/>
        <w:t xml:space="preserve"> ) sont de type essentiellement qualitatif ; elles demandent peu de calculs, voire pas du tout.</w:t>
      </w:r>
    </w:p>
    <w:p>
      <w:pPr>
        <w:spacing w:line="271" w:before="330" w:lineRule="auto"/>
      </w:pPr>
      <w:r>
        <w:rPr>
          <w:rFonts w:eastAsia="Georgia" w:cs="Georgia" w:ascii="Georgia" w:hAnsi="Georgia"/>
          <w:b/>
          <w:sz w:val="42"/>
        </w:rPr>
        <w:t xml:space="preserve">I Détermination expérimentale de la température lunaire</w:t>
      </w:r>
    </w:p>
    <w:p>
      <w:pPr>
        <w:spacing w:line="271" w:before="330" w:lineRule="auto"/>
      </w:pPr>
      <w:r>
        <w:rPr>
          <w:b/>
          <w:sz w:val="42"/>
        </w:rPr>
        <w:t xml:space="preserve">Mesures</w:t>
      </w:r>
    </w:p>
    <w:p>
      <w:pPr>
        <w:spacing w:lineRule="auto"/>
        <w:jc w:val="center"/>
      </w:pPr>
      <w:r>
        <w:rPr/>
        <w:drawing>
          <wp:inline distB="0" distL="0" distR="0" distT="0">
            <wp:extent cx="3952875" cy="3467100"/>
            <wp:effectExtent b="0" l="0" r="0" t="0"/>
            <wp:docPr id="1" name="image-e935108a219d079f668b009385521a091e239008.jpg"/>
            <a:graphic>
              <a:graphicData uri="http://schemas.openxmlformats.org/drawingml/2006/picture">
                <pic:pic>
                  <pic:nvPicPr>
                    <pic:cNvPr id="1" name="image-e935108a219d079f668b009385521a091e239008.jpg" descr=""/>
                    <pic:cNvPicPr/>
                  </pic:nvPicPr>
                  <pic:blipFill>
                    <a:blip r:embed="rId5" cstate="print"/>
                    <a:srcRect b="0" l="0" r="0" t="0"/>
                    <a:stretch>
                      <a:fillRect/>
                    </a:stretch>
                  </pic:blipFill>
                  <pic:spPr>
                    <a:xfrm>
                      <a:off x="0" y="0"/>
                      <a:ext cx="3952875" cy="3467100"/>
                    </a:xfrm>
                    <a:prstGeom prst="rect"/>
                  </pic:spPr>
                </pic:pic>
              </a:graphicData>
            </a:graphic>
          </wp:inline>
        </w:drawing>
      </w:r>
    </w:p>
    <w:p>
      <w:pPr>
        <w:spacing w:after="220" w:lineRule="auto"/>
      </w:pPr>
      <w:r>
        <w:rPr>
          <w:rFonts w:eastAsia="Georgia" w:cs="Georgia" w:ascii="Georgia" w:hAnsi="Georgia"/>
        </w:rPr>
        <w:t xml:space="preserve">On effectue cette détermination à l'aide d'un télescope à miroir sphérique de rayon </w:t>
      </w:r>
      <m:oMath>
        <m:r>
          <m:rPr>
            <m:sty m:val="i"/>
          </m:rPr>
          <m:t>R</m:t>
        </m:r>
      </m:oMath>
      <w:r>
        <w:rPr>
          <w:rFonts w:eastAsia="Georgia" w:cs="Georgia" w:ascii="Georgia" w:hAnsi="Georgia"/>
        </w:rPr>
        <w:t xml:space="preserve">, de diamètre d'ouverture </w:t>
      </w:r>
      <m:oMath>
        <m:r>
          <m:rPr>
            <m:sty m:val="i"/>
          </m:rPr>
          <m:t>a</m:t>
        </m:r>
      </m:oMath>
      <w:r>
        <w:rPr>
          <w:rFonts w:eastAsia="Georgia" w:cs="Georgia" w:ascii="Georgia" w:hAnsi="Georgia"/>
        </w:rPr>
        <w:t xml:space="preserve">, situé dans un site astronomique privilégié ou en orbite, terrestre ou lunaire (Fig. 1). Ce télescope concentre l'image d'une partie de la surface lunaire sur un détecteur, supposé ponctuel, qui produit une tension proportionnelle à la puissance lumineuse à laquelle il est exposé.</w:t>
      </w:r>
      <w:r>
        <w:rPr/>
        <w:br w:type="textWrapping"/>
      </w:r>
      <w:r>
        <w:rPr>
          <w:rFonts w:eastAsia="Georgia" w:cs="Georgia" w:ascii="Georgia" w:hAnsi="Georgia"/>
        </w:rPr>
        <w:t xml:space="preserve">Deux mesures sont effectuées, la première avec un filtre qui absorbe l'infra-rouge, et la seconde sans filtre. La différence</w:t>
      </w:r>
      <w:r>
        <w:rPr/>
        <w:br w:type="textWrapping"/>
      </w:r>
      <w:r>
        <w:rPr>
          <w:rFonts w:eastAsia="Georgia" w:cs="Georgia" w:ascii="Georgia" w:hAnsi="Georgia"/>
        </w:rPr>
        <w:t xml:space="preserve">entre les deux mesures permet d'estimer la température superficielle de la région lunaire étudiée.</w:t>
      </w:r>
    </w:p>
    <w:p>
      <w:pPr>
        <w:numPr>
          <w:ilvl w:val="0"/>
          <w:numId w:val="3"/>
        </w:numPr>
        <w:spacing w:lineRule="auto"/>
      </w:pPr>
      <w:r>
        <w:rPr>
          <w:rFonts w:eastAsia="Georgia" w:cs="Georgia" w:ascii="Georgia" w:hAnsi="Georgia"/>
        </w:rPr>
        <w:t xml:space="preserve">1* - Expliquer en quoi le site astronomique où est installé le télescope doit être « privilégié », ou pourquoi ce dernier est placé dans un satellite.</w:t>
      </w:r>
      <w:r>
        <w:rPr/>
        <w:br w:type="textWrapping"/>
      </w:r>
      <w:r>
        <w:rPr>
          <w:rFonts w:eastAsia="Georgia" w:cs="Georgia" w:ascii="Georgia" w:hAnsi="Georgia"/>
        </w:rPr>
        <w:t xml:space="preserve">2* - Où doit-on placer le détecteur?</w:t>
      </w:r>
    </w:p>
    <w:p>
      <w:pPr>
        <w:spacing w:lineRule="auto"/>
        <w:jc w:val="center"/>
      </w:pPr>
      <w:r>
        <w:rPr/>
        <w:drawing>
          <wp:inline distB="0" distL="0" distR="0" distT="0">
            <wp:extent cx="5486400" cy="3576191"/>
            <wp:effectExtent b="0" l="0" r="0" t="0"/>
            <wp:docPr id="2" name="image-3c7d3cc086dbfcb87cd5ee2d6036d8e8951e7fb2.jpg"/>
            <a:graphic>
              <a:graphicData uri="http://schemas.openxmlformats.org/drawingml/2006/picture">
                <pic:pic>
                  <pic:nvPicPr>
                    <pic:cNvPr id="2" name="image-3c7d3cc086dbfcb87cd5ee2d6036d8e8951e7fb2.jpg" descr=""/>
                    <pic:cNvPicPr/>
                  </pic:nvPicPr>
                  <pic:blipFill>
                    <a:blip r:embed="rId6" cstate="print"/>
                    <a:srcRect b="0" l="0" r="0" t="0"/>
                    <a:stretch>
                      <a:fillRect/>
                    </a:stretch>
                  </pic:blipFill>
                  <pic:spPr>
                    <a:xfrm>
                      <a:off x="0" y="0"/>
                      <a:ext cx="5486400" cy="3576191"/>
                    </a:xfrm>
                    <a:prstGeom prst="rect"/>
                  </pic:spPr>
                </pic:pic>
              </a:graphicData>
            </a:graphic>
          </wp:inline>
        </w:drawing>
      </w:r>
    </w:p>
    <w:p>
      <w:pPr>
        <w:spacing w:lineRule="auto"/>
      </w:pPr>
      <w:r>
        <w:rPr>
          <w:rFonts w:eastAsia="Georgia" w:cs="Georgia" w:ascii="Georgia" w:hAnsi="Georgia"/>
        </w:rPr>
        <w:t xml:space="preserve">Fig. 2 : Maximum d'émission</w:t>
      </w:r>
    </w:p>
    <w:p>
      <w:pPr>
        <w:spacing w:after="220" w:lineRule="auto"/>
      </w:pPr>
      <w:r>
        <w:rPr>
          <w:rFonts w:eastAsia="Georgia" w:cs="Georgia" w:ascii="Georgia" w:hAnsi="Georgia"/>
        </w:rPr>
        <w:t xml:space="preserve">3* - Admettons ceci: la puissance lumineuse émise à la température </w:t>
      </w:r>
      <m:oMath>
        <m:r>
          <m:rPr>
            <m:sty m:val="i"/>
          </m:rPr>
          <m:t>T</m:t>
        </m:r>
      </m:oMath>
      <w:r>
        <w:rPr>
          <w:rFonts w:eastAsia="Georgia" w:cs="Georgia" w:ascii="Georgia" w:hAnsi="Georgia"/>
        </w:rPr>
        <w:t xml:space="preserve"> par un objet en équilibre thermodynamique est maximale pour la longueur d'onde </w:t>
      </w:r>
      <m:oMath>
        <m:sSub>
          <m:sSubPr/>
          <m:e>
            <m:r>
              <m:rPr>
                <m:sty m:val="i"/>
              </m:rPr>
              <m:t>λ</m:t>
            </m:r>
          </m:e>
          <m:sub>
            <m:r>
              <m:rPr>
                <m:sty m:val="i"/>
              </m:rPr>
              <m:t>m</m:t>
            </m:r>
          </m:sub>
        </m:sSub>
        <m:r>
          <m:rPr>
            <m:sty m:val="p"/>
          </m:rPr>
          <m:t>(</m:t>
        </m:r>
        <m:r>
          <m:rPr>
            <m:sty m:val="i"/>
          </m:rPr>
          <m:t>T</m:t>
        </m:r>
        <m:r>
          <m:rPr>
            <m:sty m:val="p"/>
          </m:rPr>
          <m:t>)</m:t>
        </m:r>
      </m:oMath>
      <w:r>
        <w:rPr>
          <w:rFonts w:eastAsia="Georgia" w:cs="Georgia" w:ascii="Georgia" w:hAnsi="Georgia"/>
        </w:rPr>
        <w:t xml:space="preserve">, qui dépend de la température comme représenté en Fig. 2. Justifier la nécessité de refroidir les télescopes terrestres (par exemple à la température de l'azote liquide , soit environ 77 K ) ?</w:t>
      </w:r>
      <w:r>
        <w:rPr/>
        <w:br w:type="textWrapping"/>
      </w:r>
      <m:oMath>
        <m:r>
          <m:rPr>
            <m:sty m:val="i"/>
          </m:rPr>
          <m:t>◻</m:t>
        </m:r>
      </m:oMath>
      <w:r>
        <w:rPr>
          <w:rFonts w:eastAsia="Georgia" w:cs="Georgia" w:ascii="Georgia" w:hAnsi="Georgia"/>
        </w:rPr>
        <w:t xml:space="preserve"> 4* - Le diamètre d'ouverture, </w:t>
      </w:r>
      <m:oMath>
        <m:r>
          <m:rPr>
            <m:sty m:val="i"/>
          </m:rPr>
          <m:t>a</m:t>
        </m:r>
      </m:oMath>
      <w:r>
        <w:rPr>
          <w:rFonts w:eastAsia="Georgia" w:cs="Georgia" w:ascii="Georgia" w:hAnsi="Georgia"/>
        </w:rPr>
        <w:t xml:space="preserve">, des télescopes observant la surface lunaire est de l’ordre du mètre. Estimer la résolution de la mesure effectuée depuis un télescope terrestre ou en orbite terrestre. La résolution angulaire d'un télescope correspond au rayon angulaire de la tâche d'Airy, soit </w:t>
      </w:r>
      <m:oMath>
        <m:r>
          <m:rPr>
            <m:sty m:val="p"/>
          </m:rPr>
          <m:t>1</m:t>
        </m:r>
        <m:r>
          <m:rPr>
            <m:sty m:val="p"/>
          </m:rPr>
          <m:t>,</m:t>
        </m:r>
        <m:r>
          <m:rPr>
            <m:sty m:val="p"/>
          </m:rPr>
          <m:t>22</m:t>
        </m:r>
        <m:f>
          <m:fPr>
            <m:ctrlPr>
              <w:rPr>
                <w:rFonts w:ascii="Cambria Math" w:hAnsi="Cambria Math"/>
              </w:rPr>
            </m:ctrlPr>
          </m:fPr>
          <m:num>
            <m:r>
              <m:rPr>
                <m:sty m:val="i"/>
              </m:rPr>
              <m:t>λ</m:t>
            </m:r>
          </m:num>
          <m:den>
            <m:r>
              <m:rPr>
                <m:sty m:val="i"/>
              </m:rPr>
              <m:t>a</m:t>
            </m:r>
          </m:den>
        </m:f>
      </m:oMath>
      <w:r>
        <w:rPr/>
        <w:t xml:space="preserve">.</w:t>
      </w:r>
    </w:p>
    <w:p>
      <w:pPr>
        <w:spacing w:line="271" w:before="330" w:lineRule="auto"/>
      </w:pPr>
      <w:r>
        <w:rPr>
          <w:rFonts w:eastAsia="Georgia" w:cs="Georgia" w:ascii="Georgia" w:hAnsi="Georgia"/>
          <w:b/>
          <w:sz w:val="42"/>
        </w:rPr>
        <w:t xml:space="preserve">Interprétation des résultats</w:t>
      </w:r>
    </w:p>
    <w:p>
      <w:pPr>
        <w:spacing w:after="220" w:lineRule="auto"/>
      </w:pPr>
      <w:r>
        <w:rPr>
          <w:rFonts w:eastAsia="Georgia" w:cs="Georgia" w:ascii="Georgia" w:hAnsi="Georgia"/>
        </w:rPr>
        <w:t xml:space="preserve">Les températures maximales du sol lunaire sont d'environ </w:t>
      </w:r>
      <m:oMath>
        <m:sSup>
          <m:sSupPr/>
          <m:e>
            <m:r>
              <m:rPr>
                <m:sty m:val="p"/>
              </m:rPr>
              <m:t>120</m:t>
            </m:r>
          </m:e>
          <m:sup>
            <m:r>
              <m:rPr>
                <m:sty m:val="p"/>
              </m:rPr>
              <m:t>∘</m:t>
            </m:r>
          </m:sup>
        </m:sSup>
        <m:r>
          <m:rPr>
            <m:sty m:val="p"/>
          </m:rPr>
          <m:t>C</m:t>
        </m:r>
      </m:oMath>
      <w:r>
        <w:rPr>
          <w:rFonts w:eastAsia="Georgia" w:cs="Georgia" w:ascii="Georgia" w:hAnsi="Georgia"/>
        </w:rPr>
        <w:t xml:space="preserve"> et les températures minimales, lors de la nuit lunaire, d'environ </w:t>
      </w:r>
      <m:oMath>
        <m:r>
          <m:rPr>
            <m:sty m:val="p"/>
          </m:rPr>
          <m:t>−</m:t>
        </m:r>
        <m:sSup>
          <m:sSupPr/>
          <m:e>
            <m:r>
              <m:rPr>
                <m:sty m:val="p"/>
              </m:rPr>
              <m:t>200</m:t>
            </m:r>
          </m:e>
          <m:sup>
            <m:r>
              <m:rPr>
                <m:sty m:val="p"/>
              </m:rPr>
              <m:t>∘</m:t>
            </m:r>
          </m:sup>
        </m:sSup>
        <m:r>
          <m:rPr>
            <m:sty m:val="p"/>
          </m:rPr>
          <m:t>C</m:t>
        </m:r>
      </m:oMath>
      <w:r>
        <w:rPr>
          <w:rFonts w:eastAsia="Georgia" w:cs="Georgia" w:ascii="Georgia" w:hAnsi="Georgia"/>
        </w:rPr>
        <w:t xml:space="preserve">. On attribue cette grande variation à la durée de la nuit lunaire et à l'absence d'atmosphère lunaire.</w:t>
      </w:r>
      <w:r>
        <w:rPr/>
        <w:br w:type="textWrapping"/>
      </w:r>
      <m:oMath>
        <m:r>
          <m:rPr>
            <m:sty m:val="i"/>
          </m:rPr>
          <m:t>◻</m:t>
        </m:r>
      </m:oMath>
      <w:r>
        <w:rPr>
          <w:rFonts w:eastAsia="Georgia" w:cs="Georgia" w:ascii="Georgia" w:hAnsi="Georgia"/>
        </w:rPr>
        <w:t xml:space="preserve"> 5* - Déterminer la durée d'une nuit lunaire.</w:t>
      </w:r>
    </w:p>
    <w:p>
      <w:pPr>
        <w:numPr>
          <w:ilvl w:val="0"/>
          <w:numId w:val="4"/>
        </w:numPr>
        <w:spacing w:lineRule="auto"/>
      </w:pPr>
      <w:r>
        <w:rPr>
          <w:rFonts w:eastAsia="Georgia" w:cs="Georgia" w:ascii="Georgia" w:hAnsi="Georgia"/>
        </w:rPr>
        <w:t xml:space="preserve">6 - Décrivez sur un schéma les zones de pénombre et d’ombre relativement au Soleil et à la Terre, lorsque la Terre éclipse le Soleil. Évaluer les durées respectives de pénombre et d'ombre.</w:t>
      </w:r>
    </w:p>
    <w:p>
      <w:pPr>
        <w:spacing w:lineRule="auto"/>
        <w:jc w:val="center"/>
      </w:pPr>
      <w:r>
        <w:rPr/>
        <w:drawing>
          <wp:inline distB="0" distL="0" distR="0" distT="0">
            <wp:extent cx="5486400" cy="3192610"/>
            <wp:effectExtent b="0" l="0" r="0" t="0"/>
            <wp:docPr id="3" name="image-2eda833f4c5267f93e20072909b1bb6ffb102a00.jpg"/>
            <a:graphic>
              <a:graphicData uri="http://schemas.openxmlformats.org/drawingml/2006/picture">
                <pic:pic>
                  <pic:nvPicPr>
                    <pic:cNvPr id="3" name="image-2eda833f4c5267f93e20072909b1bb6ffb102a00.jpg" descr=""/>
                    <pic:cNvPicPr/>
                  </pic:nvPicPr>
                  <pic:blipFill>
                    <a:blip r:embed="rId7" cstate="print"/>
                    <a:srcRect b="0" l="0" r="0" t="0"/>
                    <a:stretch>
                      <a:fillRect/>
                    </a:stretch>
                  </pic:blipFill>
                  <pic:spPr>
                    <a:xfrm>
                      <a:off x="0" y="0"/>
                      <a:ext cx="5486400" cy="3192610"/>
                    </a:xfrm>
                    <a:prstGeom prst="rect"/>
                  </pic:spPr>
                </pic:pic>
              </a:graphicData>
            </a:graphic>
          </wp:inline>
        </w:drawing>
      </w:r>
    </w:p>
    <w:p>
      <w:pPr>
        <w:spacing w:lineRule="auto"/>
      </w:pPr>
      <w:r>
        <w:rPr>
          <w:rFonts w:eastAsia="Georgia" w:cs="Georgia" w:ascii="Georgia" w:hAnsi="Georgia"/>
        </w:rPr>
        <w:t xml:space="preserve">Fig. 3 ; cycle de température lunaire</w:t>
      </w:r>
    </w:p>
    <w:p>
      <w:pPr>
        <w:spacing w:after="220" w:lineRule="auto"/>
      </w:pPr>
      <w:r>
        <w:rPr>
          <w:rFonts w:eastAsia="Georgia" w:cs="Georgia" w:ascii="Georgia" w:hAnsi="Georgia"/>
        </w:rPr>
        <w:t xml:space="preserve">7* - L'allure de résultats de mesures effectuées lors d'une éclipse totale est représentée dans la fig. 3. On en rend compte par un modèle à deux couches pour la croûte lunaire : une couche supérieure, pulvérulente, très fine (épaisseur de l’ordre du millimètre), de densité faible et de conductivité thermique très faible, et une couche inférieure plus compacte de propriétés physiques proches de celles de la roche ordinaire (silicates). Justifier l’accord qualitatif entre la courbe et le modèle.</w:t>
      </w:r>
    </w:p>
    <w:p>
      <w:pPr>
        <w:spacing w:line="271" w:before="330" w:lineRule="auto"/>
      </w:pPr>
      <w:r>
        <w:rPr>
          <w:rFonts w:eastAsia="Georgia" w:cs="Georgia" w:ascii="Georgia" w:hAnsi="Georgia"/>
          <w:b/>
          <w:sz w:val="42"/>
        </w:rPr>
        <w:t xml:space="preserve">II Polarisation de la lumière diffusée par la Lune</w:t>
      </w:r>
    </w:p>
    <w:p>
      <w:pPr>
        <w:spacing w:lineRule="auto"/>
        <w:jc w:val="center"/>
      </w:pPr>
      <w:r>
        <w:rPr/>
        <w:drawing>
          <wp:inline distB="0" distL="0" distR="0" distT="0">
            <wp:extent cx="5486400" cy="2257117"/>
            <wp:effectExtent b="0" l="0" r="0" t="0"/>
            <wp:docPr id="4" name="image-f53039554fe6200c46b530ba028647014095b1c7.jpg"/>
            <a:graphic>
              <a:graphicData uri="http://schemas.openxmlformats.org/drawingml/2006/picture">
                <pic:pic>
                  <pic:nvPicPr>
                    <pic:cNvPr id="4" name="image-f53039554fe6200c46b530ba028647014095b1c7.jpg" descr=""/>
                    <pic:cNvPicPr/>
                  </pic:nvPicPr>
                  <pic:blipFill>
                    <a:blip r:embed="rId8" cstate="print"/>
                    <a:srcRect b="0" l="0" r="0" t="0"/>
                    <a:stretch>
                      <a:fillRect/>
                    </a:stretch>
                  </pic:blipFill>
                  <pic:spPr>
                    <a:xfrm>
                      <a:off x="0" y="0"/>
                      <a:ext cx="5486400" cy="2257117"/>
                    </a:xfrm>
                    <a:prstGeom prst="rect"/>
                  </pic:spPr>
                </pic:pic>
              </a:graphicData>
            </a:graphic>
          </wp:inline>
        </w:drawing>
      </w:r>
    </w:p>
    <w:p>
      <w:pPr>
        <w:spacing w:lineRule="auto"/>
      </w:pPr>
      <w:r>
        <w:rPr>
          <w:rFonts w:eastAsia="Georgia" w:cs="Georgia" w:ascii="Georgia" w:hAnsi="Georgia"/>
        </w:rPr>
        <w:t xml:space="preserve">Fig. 4 : analyse de la lumière solaire diffusée par la Lune</w:t>
      </w:r>
    </w:p>
    <w:p>
      <w:pPr>
        <w:spacing w:after="220" w:lineRule="auto"/>
      </w:pPr>
      <w:r>
        <w:rPr>
          <w:rFonts w:eastAsia="Georgia" w:cs="Georgia" w:ascii="Georgia" w:hAnsi="Georgia"/>
        </w:rPr>
        <w:t xml:space="preserve">Les premières études indirectes du sol lunaire ont été effectuées en analysant la polarisation de la lumière</w:t>
      </w:r>
      <w:r>
        <w:rPr/>
        <w:br w:type="textWrapping"/>
      </w:r>
      <w:r>
        <w:rPr>
          <w:rFonts w:eastAsia="Georgia" w:cs="Georgia" w:ascii="Georgia" w:hAnsi="Georgia"/>
        </w:rPr>
        <w:t xml:space="preserve">solaire diffusée par le sol lunaire (fig. 4). La lumière recueillie traverse un polariseur linéaire qui tourne à la vitesse angulaire </w:t>
      </w:r>
      <m:oMath>
        <m:r>
          <m:rPr>
            <m:sty m:val="bi"/>
          </m:rPr>
          <m:t>ω</m:t>
        </m:r>
        <m:r>
          <m:rPr>
            <m:sty m:val="p"/>
          </m:rPr>
          <m:t>=</m:t>
        </m:r>
        <m:f>
          <m:fPr>
            <m:ctrlPr>
              <w:rPr>
                <w:rFonts w:ascii="Cambria Math" w:hAnsi="Cambria Math"/>
              </w:rPr>
            </m:ctrlPr>
          </m:fPr>
          <m:num>
            <m:r>
              <m:rPr>
                <m:sty m:val="p"/>
              </m:rPr>
              <m:t>2</m:t>
            </m:r>
            <m:r>
              <m:rPr>
                <m:sty m:val="i"/>
              </m:rPr>
              <m:t>π</m:t>
            </m:r>
          </m:num>
          <m:den>
            <m:r>
              <m:rPr>
                <m:sty m:val="i"/>
              </m:rPr>
              <m:t>T</m:t>
            </m:r>
          </m:den>
        </m:f>
      </m:oMath>
      <w:r>
        <w:rPr/>
        <w:t xml:space="preserve">.</w:t>
      </w:r>
    </w:p>
    <w:p>
      <w:pPr>
        <w:spacing w:after="220" w:lineRule="auto"/>
      </w:pPr>
      <w:r>
        <w:rPr>
          <w:rFonts w:eastAsia="Georgia" w:cs="Georgia" w:ascii="Georgia" w:hAnsi="Georgia"/>
        </w:rPr>
        <w:t xml:space="preserve">Le récepteur permet de suivre l'évolution, </w:t>
      </w:r>
      <m:oMath>
        <m:r>
          <m:rPr>
            <m:sty m:val="i"/>
          </m:rPr>
          <m:t>s</m:t>
        </m:r>
        <m:r>
          <m:rPr>
            <m:sty m:val="p"/>
          </m:rPr>
          <m:t>(</m:t>
        </m:r>
        <m:r>
          <m:rPr>
            <m:sty m:val="i"/>
          </m:rPr>
          <m:t>t</m:t>
        </m:r>
        <m:r>
          <m:rPr>
            <m:sty m:val="p"/>
          </m:rPr>
          <m:t>)</m:t>
        </m:r>
      </m:oMath>
      <w:r>
        <w:rPr>
          <w:rFonts w:eastAsia="Georgia" w:cs="Georgia" w:ascii="Georgia" w:hAnsi="Georgia"/>
        </w:rPr>
        <w:t xml:space="preserve">, de l'éclairement lors de la rotation du polariseur (fig. 5).</w:t>
      </w:r>
    </w:p>
    <w:p>
      <w:pPr>
        <w:spacing w:lineRule="auto"/>
        <w:jc w:val="center"/>
      </w:pPr>
      <w:r>
        <w:rPr/>
        <w:drawing>
          <wp:inline distB="0" distL="0" distR="0" distT="0">
            <wp:extent cx="5486400" cy="3470564"/>
            <wp:effectExtent b="0" l="0" r="0" t="0"/>
            <wp:docPr id="5" name="image-551fd99fbf7568f857a09ce46467dafd00158e9e.jpg"/>
            <a:graphic>
              <a:graphicData uri="http://schemas.openxmlformats.org/drawingml/2006/picture">
                <pic:pic>
                  <pic:nvPicPr>
                    <pic:cNvPr id="5" name="image-551fd99fbf7568f857a09ce46467dafd00158e9e.jpg" descr=""/>
                    <pic:cNvPicPr/>
                  </pic:nvPicPr>
                  <pic:blipFill>
                    <a:blip r:embed="rId9" cstate="print"/>
                    <a:srcRect b="0" l="0" r="0" t="0"/>
                    <a:stretch>
                      <a:fillRect/>
                    </a:stretch>
                  </pic:blipFill>
                  <pic:spPr>
                    <a:xfrm>
                      <a:off x="0" y="0"/>
                      <a:ext cx="5486400" cy="3470564"/>
                    </a:xfrm>
                    <a:prstGeom prst="rect"/>
                  </pic:spPr>
                </pic:pic>
              </a:graphicData>
            </a:graphic>
          </wp:inline>
        </w:drawing>
      </w:r>
    </w:p>
    <w:p>
      <w:pPr>
        <w:spacing w:lineRule="auto"/>
      </w:pPr>
      <w:r>
        <w:rPr>
          <w:rFonts w:eastAsia="Georgia" w:cs="Georgia" w:ascii="Georgia" w:hAnsi="Georgia"/>
        </w:rPr>
        <w:t xml:space="preserve">Fig. 5 : Évolution de l'éclairement</w:t>
      </w:r>
    </w:p>
    <w:p>
      <w:pPr>
        <w:spacing w:after="220" w:lineRule="auto"/>
      </w:pPr>
      <m:oMath>
        <m:r>
          <m:rPr>
            <m:sty m:val="i"/>
          </m:rPr>
          <m:t>◻</m:t>
        </m:r>
        <m:r>
          <m:rPr>
            <m:sty m:val="p"/>
          </m:rPr>
          <m:t>8</m:t>
        </m:r>
      </m:oMath>
      <w:r>
        <w:rPr>
          <w:rFonts w:eastAsia="Georgia" w:cs="Georgia" w:ascii="Georgia" w:hAnsi="Georgia"/>
        </w:rPr>
        <w:t xml:space="preserve"> - Interpréter la forme et la période du signal </w:t>
      </w:r>
      <m:oMath>
        <m:r>
          <m:rPr>
            <m:sty m:val="i"/>
          </m:rPr>
          <m:t>s</m:t>
        </m:r>
        <m:r>
          <m:rPr>
            <m:sty m:val="p"/>
          </m:rPr>
          <m:t>(</m:t>
        </m:r>
        <m:r>
          <m:rPr>
            <m:sty m:val="i"/>
          </m:rPr>
          <m:t>t</m:t>
        </m:r>
        <m:r>
          <m:rPr>
            <m:sty m:val="p"/>
          </m:rPr>
          <m:t>)</m:t>
        </m:r>
      </m:oMath>
      <w:r>
        <w:rPr>
          <w:rFonts w:eastAsia="Georgia" w:cs="Georgia" w:ascii="Georgia" w:hAnsi="Georgia"/>
        </w:rPr>
        <w:t xml:space="preserve">. Déduire de la forme du signal temporel de la fig. 5 l'état de polarisation de la lumière solaire diffusée par le sol lunaire. Que représente la valeur moyenne?</w:t>
      </w:r>
      <w:r>
        <w:rPr/>
        <w:br w:type="textWrapping"/>
      </w:r>
      <m:oMath>
        <m:r>
          <m:rPr>
            <m:sty m:val="i"/>
          </m:rPr>
          <m:t>◻</m:t>
        </m:r>
        <m:r>
          <m:rPr>
            <m:sty m:val="p"/>
          </m:rPr>
          <m:t>9</m:t>
        </m:r>
      </m:oMath>
      <w:r>
        <w:rPr>
          <w:rFonts w:eastAsia="Georgia" w:cs="Georgia" w:ascii="Georgia" w:hAnsi="Georgia"/>
        </w:rPr>
        <w:t xml:space="preserve"> - Dans un dispositif plus complet (fig. 6), après sélection d'une longueur d'onde «unique» </w:t>
      </w:r>
      <m:oMath>
        <m:r>
          <m:rPr>
            <m:sty m:val="i"/>
          </m:rPr>
          <m:t>λ</m:t>
        </m:r>
      </m:oMath>
      <w:r>
        <w:rPr>
          <w:rFonts w:eastAsia="Georgia" w:cs="Georgia" w:ascii="Georgia" w:hAnsi="Georgia"/>
        </w:rPr>
        <w:t xml:space="preserve"> par un filtre, la lumière traverse une lame demi-onde ( </w:t>
      </w:r>
      <m:oMath>
        <m:r>
          <m:rPr>
            <m:sty m:val="i"/>
          </m:rPr>
          <m:t>λ</m:t>
        </m:r>
        <m:r>
          <m:rPr>
            <m:sty m:val="p"/>
          </m:rPr>
          <m:t>/</m:t>
        </m:r>
        <m:r>
          <m:rPr>
            <m:sty m:val="p"/>
          </m:rPr>
          <m:t>2</m:t>
        </m:r>
      </m:oMath>
      <w:r>
        <w:rPr>
          <w:rFonts w:eastAsia="Georgia" w:cs="Georgia" w:ascii="Georgia" w:hAnsi="Georgia"/>
        </w:rPr>
        <w:t xml:space="preserve"> ) qui tourne à la vitesse angulaire </w:t>
      </w:r>
      <m:oMath>
        <m:r>
          <m:rPr>
            <m:sty m:val="i"/>
          </m:rPr>
          <m:t>ω</m:t>
        </m:r>
      </m:oMath>
      <w:r>
        <w:rPr>
          <w:rFonts w:eastAsia="Georgia" w:cs="Georgia" w:ascii="Georgia" w:hAnsi="Georgia"/>
        </w:rPr>
        <w:t xml:space="preserve">. La lumière traverse ensuite un biprisme biréfringent. L'indice du premier prisme a la valeur </w:t>
      </w:r>
      <m:oMath>
        <m:sSub>
          <m:sSubPr/>
          <m:e>
            <m:r>
              <m:rPr>
                <m:sty m:val="i"/>
              </m:rPr>
              <m:t>n</m:t>
            </m:r>
          </m:e>
          <m:sub>
            <m:r>
              <m:rPr>
                <m:sty m:val="p"/>
              </m:rPr>
              <m:t>1</m:t>
            </m:r>
          </m:sub>
        </m:sSub>
      </m:oMath>
      <w:r>
        <w:rPr/>
        <w:t xml:space="preserve"> si la direction de polarisation est suivant l'axe </w:t>
      </w:r>
      <m:oMath>
        <m:r>
          <m:rPr>
            <m:sty m:val="i"/>
          </m:rPr>
          <m:t>y</m:t>
        </m:r>
      </m:oMath>
      <w:r>
        <w:rPr/>
        <w:t xml:space="preserve"> et la valeur </w:t>
      </w:r>
      <m:oMath>
        <m:sSub>
          <m:sSubPr/>
          <m:e>
            <m:r>
              <m:rPr>
                <m:sty m:val="i"/>
              </m:rPr>
              <m:t>n</m:t>
            </m:r>
          </m:e>
          <m:sub>
            <m:r>
              <m:rPr>
                <m:sty m:val="p"/>
              </m:rPr>
              <m:t>2</m:t>
            </m:r>
          </m:sub>
        </m:sSub>
      </m:oMath>
      <w:r>
        <w:rPr/>
        <w:t xml:space="preserve"> si la direction de polarisation est suivant l'axe </w:t>
      </w:r>
      <m:oMath>
        <m:r>
          <m:rPr>
            <m:sty m:val="i"/>
          </m:rPr>
          <m:t>z</m:t>
        </m:r>
      </m:oMath>
      <w:r>
        <w:rPr>
          <w:rFonts w:eastAsia="Georgia" w:cs="Georgia" w:ascii="Georgia" w:hAnsi="Georgia"/>
        </w:rPr>
        <w:t xml:space="preserve">. Le second prisme, accolé au premier, possède un indice </w:t>
      </w:r>
      <m:oMath>
        <m:sSub>
          <m:sSubPr/>
          <m:e>
            <m:r>
              <m:rPr>
                <m:sty m:val="i"/>
              </m:rPr>
              <m:t>n</m:t>
            </m:r>
          </m:e>
          <m:sub>
            <m:r>
              <m:rPr>
                <m:sty m:val="p"/>
              </m:rPr>
              <m:t>1</m:t>
            </m:r>
          </m:sub>
        </m:sSub>
      </m:oMath>
      <w:r>
        <w:rPr>
          <w:rFonts w:eastAsia="Georgia" w:cs="Georgia" w:ascii="Georgia" w:hAnsi="Georgia"/>
        </w:rPr>
        <w:t xml:space="preserve"> quelle que soit la direction de polarisation. Les récepteurs permettent de suivre l'évolution, </w:t>
      </w:r>
      <m:oMath>
        <m:sSub>
          <m:sSubPr/>
          <m:e>
            <m:r>
              <m:rPr>
                <m:sty m:val="i"/>
              </m:rPr>
              <m:t>s</m:t>
            </m:r>
          </m:e>
          <m:sub>
            <m:r>
              <m:rPr>
                <m:sty m:val="p"/>
              </m:rPr>
              <m:t>1</m:t>
            </m:r>
          </m:sub>
        </m:sSub>
        <m:r>
          <m:rPr>
            <m:sty m:val="p"/>
          </m:rPr>
          <m:t>(</m:t>
        </m:r>
        <m:r>
          <m:rPr>
            <m:sty m:val="i"/>
          </m:rPr>
          <m:t>t</m:t>
        </m:r>
        <m:r>
          <m:rPr>
            <m:sty m:val="p"/>
          </m:rPr>
          <m:t>)</m:t>
        </m:r>
      </m:oMath>
      <w:r>
        <w:rPr/>
        <w:t xml:space="preserve"> et </w:t>
      </w:r>
      <m:oMath>
        <m:sSub>
          <m:sSubPr/>
          <m:e>
            <m:r>
              <m:rPr>
                <m:sty m:val="i"/>
              </m:rPr>
              <m:t>s</m:t>
            </m:r>
          </m:e>
          <m:sub>
            <m:r>
              <m:rPr>
                <m:sty m:val="p"/>
              </m:rPr>
              <m:t>2</m:t>
            </m:r>
          </m:sub>
        </m:sSub>
        <m:r>
          <m:rPr>
            <m:sty m:val="p"/>
          </m:rPr>
          <m:t>(</m:t>
        </m:r>
        <m:r>
          <m:rPr>
            <m:sty m:val="i"/>
          </m:rPr>
          <m:t>t</m:t>
        </m:r>
        <m:r>
          <m:rPr>
            <m:sty m:val="p"/>
          </m:rPr>
          <m:t>)</m:t>
        </m:r>
      </m:oMath>
      <w:r>
        <w:rPr>
          <w:rFonts w:eastAsia="Georgia" w:cs="Georgia" w:ascii="Georgia" w:hAnsi="Georgia"/>
        </w:rPr>
        <w:t xml:space="preserve">, des éclairements, lors de la rotation de la lame demi-onde (figure 7).</w:t>
      </w:r>
    </w:p>
    <w:p>
      <w:pPr>
        <w:spacing w:lineRule="auto"/>
        <w:jc w:val="center"/>
      </w:pPr>
      <w:r>
        <w:rPr/>
        <w:drawing>
          <wp:inline distB="0" distL="0" distR="0" distT="0">
            <wp:extent cx="5486400" cy="1415706"/>
            <wp:effectExtent b="0" l="0" r="0" t="0"/>
            <wp:docPr id="6" name="image-9d5b3b100f6de1b179559926f2b80380231e11a5.jpg"/>
            <a:graphic>
              <a:graphicData uri="http://schemas.openxmlformats.org/drawingml/2006/picture">
                <pic:pic>
                  <pic:nvPicPr>
                    <pic:cNvPr id="6" name="image-9d5b3b100f6de1b179559926f2b80380231e11a5.jpg" descr=""/>
                    <pic:cNvPicPr/>
                  </pic:nvPicPr>
                  <pic:blipFill>
                    <a:blip r:embed="rId10" cstate="print"/>
                    <a:srcRect b="0" l="0" r="0" t="0"/>
                    <a:stretch>
                      <a:fillRect/>
                    </a:stretch>
                  </pic:blipFill>
                  <pic:spPr>
                    <a:xfrm>
                      <a:off x="0" y="0"/>
                      <a:ext cx="5486400" cy="1415706"/>
                    </a:xfrm>
                    <a:prstGeom prst="rect"/>
                  </pic:spPr>
                </pic:pic>
              </a:graphicData>
            </a:graphic>
          </wp:inline>
        </w:drawing>
      </w:r>
    </w:p>
    <w:p>
      <w:pPr>
        <w:spacing w:lineRule="auto"/>
      </w:pPr>
      <w:r>
        <w:rPr>
          <w:rFonts w:eastAsia="Georgia" w:cs="Georgia" w:ascii="Georgia" w:hAnsi="Georgia"/>
        </w:rPr>
        <w:t xml:space="preserve">Fig. 6 : un dispositif plus élaboré de la mesure de lumière solaire diffusée par la Lune</w:t>
      </w:r>
    </w:p>
    <w:p>
      <w:pPr>
        <w:spacing w:lineRule="auto"/>
        <w:jc w:val="center"/>
      </w:pPr>
      <w:r>
        <w:rPr/>
        <w:drawing>
          <wp:inline distB="0" distL="0" distR="0" distT="0">
            <wp:extent cx="5486400" cy="2178636"/>
            <wp:effectExtent b="0" l="0" r="0" t="0"/>
            <wp:docPr id="7" name="image-92e9c2194072427bded906e6c4c03e837f1479dc.jpg"/>
            <a:graphic>
              <a:graphicData uri="http://schemas.openxmlformats.org/drawingml/2006/picture">
                <pic:pic>
                  <pic:nvPicPr>
                    <pic:cNvPr id="7" name="image-92e9c2194072427bded906e6c4c03e837f1479dc.jpg" descr=""/>
                    <pic:cNvPicPr/>
                  </pic:nvPicPr>
                  <pic:blipFill>
                    <a:blip r:embed="rId11" cstate="print"/>
                    <a:srcRect b="0" l="0" r="0" t="0"/>
                    <a:stretch>
                      <a:fillRect/>
                    </a:stretch>
                  </pic:blipFill>
                  <pic:spPr>
                    <a:xfrm>
                      <a:off x="0" y="0"/>
                      <a:ext cx="5486400" cy="2178636"/>
                    </a:xfrm>
                    <a:prstGeom prst="rect"/>
                  </pic:spPr>
                </pic:pic>
              </a:graphicData>
            </a:graphic>
          </wp:inline>
        </w:drawing>
      </w:r>
    </w:p>
    <w:p>
      <w:pPr>
        <w:spacing w:lineRule="auto"/>
      </w:pPr>
      <w:r>
        <w:rPr>
          <w:rFonts w:eastAsia="Georgia" w:cs="Georgia" w:ascii="Georgia" w:hAnsi="Georgia"/>
        </w:rPr>
        <w:t xml:space="preserve">Fig. 7 : signaux reçus par les récepteurs 1 et 2</w:t>
      </w:r>
    </w:p>
    <w:p>
      <w:pPr>
        <w:spacing w:after="220" w:lineRule="auto"/>
      </w:pPr>
      <w:r>
        <w:rPr/>
        <w:t xml:space="preserve">On nomme taux de polarisation le rapport </w:t>
      </w:r>
      <m:oMath>
        <m:r>
          <m:rPr>
            <m:sty m:val="i"/>
          </m:rPr>
          <m:t>τ</m:t>
        </m:r>
        <m:r>
          <m:rPr>
            <m:sty m:val="p"/>
          </m:rPr>
          <m:t>=</m:t>
        </m:r>
        <m:f>
          <m:fPr>
            <m:ctrlPr>
              <w:rPr>
                <w:rFonts w:ascii="Cambria Math" w:hAnsi="Cambria Math"/>
              </w:rPr>
            </m:ctrlPr>
          </m:fPr>
          <m:num>
            <m:r>
              <m:rPr>
                <m:sty m:val="i"/>
              </m:rPr>
              <m:t>b</m:t>
            </m:r>
            <m:r>
              <m:rPr>
                <m:sty m:val="p"/>
              </m:rPr>
              <m:t>−</m:t>
            </m:r>
            <m:r>
              <m:rPr>
                <m:sty m:val="i"/>
              </m:rPr>
              <m:t>a</m:t>
            </m:r>
          </m:num>
          <m:den>
            <m:r>
              <m:rPr>
                <m:sty m:val="i"/>
              </m:rPr>
              <m:t>b</m:t>
            </m:r>
            <m:r>
              <m:rPr>
                <m:sty m:val="p"/>
              </m:rPr>
              <m:t>+</m:t>
            </m:r>
            <m:r>
              <m:rPr>
                <m:sty m:val="i"/>
              </m:rPr>
              <m:t>a</m:t>
            </m:r>
          </m:den>
        </m:f>
      </m:oMath>
      <w:r>
        <w:rPr>
          <w:rFonts w:eastAsia="Georgia" w:cs="Georgia" w:ascii="Georgia" w:hAnsi="Georgia"/>
        </w:rPr>
        <w:t xml:space="preserve">. Quelle est la valeur du taux de polarisation pour une lumière polarisée rectilignement et pour une lumière naturelle non polarisée ? Quelle serait la forme du signal obtenu pour chacun de ces deux cas ? Les résultats de la Fig. 7 sont-ils en accord avec les données de la Fig. 5?</w:t>
      </w:r>
    </w:p>
    <w:p>
      <w:pPr>
        <w:spacing w:after="220" w:lineRule="auto"/>
      </w:pPr>
      <w:r>
        <w:rPr>
          <w:rFonts w:eastAsia="Georgia" w:cs="Georgia" w:ascii="Georgia" w:hAnsi="Georgia"/>
        </w:rPr>
        <w:t xml:space="preserve">10* - L'étude de la polarisation de la lumière diffusée par la Lune a permis, avant les missions Apollo, de conclure sur la nature poussiéreuse de la surface lunaire. Expliquer pourquoi cette nature poussiéreuse de la surface justifie que la Lune ne réfléchisse qu'une faible partie du rayonnement solaire incident (cette fraction est nommée albédo).</w:t>
      </w:r>
    </w:p>
    <w:p>
      <w:pPr>
        <w:spacing w:line="271" w:before="330" w:lineRule="auto"/>
      </w:pPr>
      <w:r>
        <w:rPr>
          <w:b/>
          <w:sz w:val="42"/>
        </w:rPr>
        <w:t xml:space="preserve">III Le sol lunaire</w:t>
      </w:r>
    </w:p>
    <w:p>
      <w:pPr>
        <w:spacing w:lineRule="auto"/>
        <w:jc w:val="center"/>
      </w:pPr>
      <w:r>
        <w:rPr/>
        <w:drawing>
          <wp:inline distB="0" distL="0" distR="0" distT="0">
            <wp:extent cx="5486400" cy="3041208"/>
            <wp:effectExtent b="0" l="0" r="0" t="0"/>
            <wp:docPr id="8" name="image-5a757539a43b3507ddbdfc8c80dafecae1aef51c.jpg"/>
            <a:graphic>
              <a:graphicData uri="http://schemas.openxmlformats.org/drawingml/2006/picture">
                <pic:pic>
                  <pic:nvPicPr>
                    <pic:cNvPr id="8" name="image-5a757539a43b3507ddbdfc8c80dafecae1aef51c.jpg" descr=""/>
                    <pic:cNvPicPr/>
                  </pic:nvPicPr>
                  <pic:blipFill>
                    <a:blip r:embed="rId12" cstate="print"/>
                    <a:srcRect b="0" l="0" r="0" t="0"/>
                    <a:stretch>
                      <a:fillRect/>
                    </a:stretch>
                  </pic:blipFill>
                  <pic:spPr>
                    <a:xfrm>
                      <a:off x="0" y="0"/>
                      <a:ext cx="5486400" cy="3041208"/>
                    </a:xfrm>
                    <a:prstGeom prst="rect"/>
                  </pic:spPr>
                </pic:pic>
              </a:graphicData>
            </a:graphic>
          </wp:inline>
        </w:drawing>
      </w:r>
    </w:p>
    <w:p>
      <w:pPr>
        <w:spacing w:lineRule="auto"/>
      </w:pPr>
      <w:r>
        <w:rPr>
          <w:rFonts w:eastAsia="Georgia" w:cs="Georgia" w:ascii="Georgia" w:hAnsi="Georgia"/>
        </w:rPr>
        <w:t xml:space="preserve">Fig. 8 : Le plan inférieur de l'empilement compact est constitué de sphères dont les centres sont notés </w:t>
      </w:r>
      <m:oMath>
        <m:r>
          <m:rPr>
            <m:sty m:val="i"/>
          </m:rPr>
          <m:t>A</m:t>
        </m:r>
      </m:oMath>
      <w:r>
        <w:rPr>
          <w:rFonts w:eastAsia="Georgia" w:cs="Georgia" w:ascii="Georgia" w:hAnsi="Georgia"/>
        </w:rPr>
        <w:t xml:space="preserve">. Une couche identique de sphères lui est superposée, dont les centres sont à l'à-pic des points de type B. Les centres des sphères de la troisième couche sont en sites </w:t>
      </w:r>
      <m:oMath>
        <m:r>
          <m:rPr>
            <m:sty m:val="i"/>
          </m:rPr>
          <m:t>A</m:t>
        </m:r>
      </m:oMath>
      <w:r>
        <w:rPr/>
        <w:t xml:space="preserve">, et ainsi de suite (empilement hexagonal compact de type </w:t>
      </w:r>
      <m:oMath>
        <m:r>
          <m:rPr>
            <m:sty m:val="i"/>
          </m:rPr>
          <m:t>A</m:t>
        </m:r>
        <m:r>
          <m:rPr>
            <m:sty m:val="i"/>
          </m:rPr>
          <m:t>B</m:t>
        </m:r>
        <m:r>
          <m:rPr>
            <m:sty m:val="i"/>
          </m:rPr>
          <m:t>A</m:t>
        </m:r>
        <m:r>
          <m:rPr>
            <m:sty m:val="i"/>
          </m:rPr>
          <m:t>B</m:t>
        </m:r>
        <m:r>
          <m:rPr>
            <m:sty m:val="p"/>
          </m:rPr>
          <m:t>…</m:t>
        </m:r>
      </m:oMath>
      <w:r>
        <w:rPr/>
        <w:t xml:space="preserve"> ).</w:t>
      </w:r>
    </w:p>
    <w:p>
      <w:pPr>
        <w:spacing w:line="271" w:before="330" w:lineRule="auto"/>
      </w:pPr>
      <w:r>
        <w:rPr>
          <w:rFonts w:eastAsia="Georgia" w:cs="Georgia" w:ascii="Georgia" w:hAnsi="Georgia"/>
          <w:b/>
          <w:sz w:val="42"/>
        </w:rPr>
        <w:t xml:space="preserve">Modélisations</w:t>
      </w:r>
    </w:p>
    <w:p>
      <w:pPr>
        <w:spacing w:after="220" w:lineRule="auto"/>
      </w:pPr>
      <w:r>
        <w:rPr>
          <w:rFonts w:eastAsia="Georgia" w:cs="Georgia" w:ascii="Georgia" w:hAnsi="Georgia"/>
        </w:rPr>
        <w:t xml:space="preserve">Le sol lunaire est bombardé et réduit en poussière par les météorites et le vent solaire, constitué essentiellement de protons et d'électrons. La composition du sol lunaire est proche de celle des silicates, dont quelques caractéristiques physiques sont indiquées page 6. La couche supérieure, très fine, est représentée par un empilement compact de sphères de silicates, de rayon </w:t>
      </w:r>
      <m:oMath>
        <m:sSub>
          <m:sSubPr/>
          <m:e>
            <m:r>
              <m:rPr>
                <m:sty m:val="i"/>
              </m:rPr>
              <m:t>R</m:t>
            </m:r>
          </m:e>
          <m:sub>
            <m:r>
              <m:rPr>
                <m:nor/>
              </m:rPr>
              <m:t>Sil </m:t>
            </m:r>
          </m:sub>
        </m:sSub>
      </m:oMath>
      <w:r>
        <w:rPr>
          <w:rFonts w:eastAsia="Georgia" w:cs="Georgia" w:ascii="Georgia" w:hAnsi="Georgia"/>
        </w:rPr>
        <w:t xml:space="preserve"> et de température uniforme (Fig. 8). Le contact entre les sphères est supposé ponctuel. On note </w:t>
      </w:r>
      <m:oMath>
        <m:r>
          <m:rPr>
            <m:sty m:val="i"/>
          </m:rPr>
          <m:t>c</m:t>
        </m:r>
      </m:oMath>
      <w:r>
        <w:rPr>
          <w:rFonts w:eastAsia="Georgia" w:cs="Georgia" w:ascii="Georgia" w:hAnsi="Georgia"/>
        </w:rPr>
        <w:t xml:space="preserve"> la distance verticale minimale entre deux sphères en positions semblables : </w:t>
      </w:r>
      <m:oMath>
        <m:r>
          <m:rPr>
            <m:sty m:val="i"/>
          </m:rPr>
          <m:t>c</m:t>
        </m:r>
        <m:r>
          <m:rPr>
            <m:sty m:val="p"/>
          </m:rPr>
          <m:t>=</m:t>
        </m:r>
        <m:r>
          <m:rPr>
            <m:sty m:val="p"/>
          </m:rPr>
          <m:t>2</m:t>
        </m:r>
        <m:r>
          <m:rPr>
            <m:sty m:val="p"/>
          </m:rPr>
          <m:t>⋅</m:t>
        </m:r>
        <m:rad>
          <m:radPr>
            <m:degHide m:val="1"/>
            <m:ctrlPr>
              <w:rPr>
                <w:rFonts w:ascii="Cambria Math" w:hAnsi="Cambria Math"/>
              </w:rPr>
            </m:ctrlPr>
          </m:radPr>
          <m:deg/>
          <m:e>
            <m:f>
              <m:fPr>
                <m:ctrlPr>
                  <w:rPr>
                    <w:rFonts w:ascii="Cambria Math" w:hAnsi="Cambria Math"/>
                  </w:rPr>
                </m:ctrlPr>
              </m:fPr>
              <m:num>
                <m:r>
                  <m:rPr>
                    <m:sty m:val="p"/>
                  </m:rPr>
                  <m:t>2</m:t>
                </m:r>
              </m:num>
              <m:den>
                <m:r>
                  <m:rPr>
                    <m:sty m:val="p"/>
                  </m:rPr>
                  <m:t>3</m:t>
                </m:r>
              </m:den>
            </m:f>
          </m:e>
        </m:rad>
        <m:sSub>
          <m:sSubPr/>
          <m:e>
            <m:r>
              <m:rPr>
                <m:sty m:val="i"/>
              </m:rPr>
              <m:t>R</m:t>
            </m:r>
          </m:e>
          <m:sub>
            <m:r>
              <m:rPr>
                <m:nor/>
              </m:rPr>
              <m:t>Sil </m:t>
            </m:r>
          </m:sub>
        </m:sSub>
        <m:r>
          <m:rPr>
            <m:sty m:val="p"/>
          </m:rPr>
          <m:t>≈</m:t>
        </m:r>
        <m:r>
          <m:rPr>
            <m:sty m:val="p"/>
          </m:rPr>
          <m:t>1</m:t>
        </m:r>
        <m:r>
          <m:rPr>
            <m:sty m:val="p"/>
          </m:rPr>
          <m:t>,</m:t>
        </m:r>
        <m:r>
          <m:rPr>
            <m:sty m:val="p"/>
          </m:rPr>
          <m:t>633</m:t>
        </m:r>
        <m:sSub>
          <m:sSubPr/>
          <m:e>
            <m:r>
              <m:rPr>
                <m:sty m:val="i"/>
              </m:rPr>
              <m:t>R</m:t>
            </m:r>
          </m:e>
          <m:sub>
            <m:r>
              <m:rPr>
                <m:nor/>
              </m:rPr>
              <m:t>Sil </m:t>
            </m:r>
          </m:sub>
        </m:sSub>
      </m:oMath>
      <w:r>
        <w:rPr>
          <w:rFonts w:eastAsia="Georgia" w:cs="Georgia" w:ascii="Georgia" w:hAnsi="Georgia"/>
        </w:rPr>
        <w:t xml:space="preserve">. Dans une telle structure compacte, le volume occupé par les sphères est de l’ordre de 74 % du volume de l’empilement.</w:t>
      </w:r>
    </w:p>
    <w:p>
      <w:pPr>
        <w:spacing w:after="220" w:lineRule="auto"/>
      </w:pPr>
      <w:r>
        <w:rPr>
          <w:rFonts w:eastAsia="Georgia" w:cs="Georgia" w:ascii="Georgia" w:hAnsi="Georgia"/>
        </w:rPr>
        <w:t xml:space="preserve">11* - Justifier qu’avec un tel modèle les échanges thermiques entre les sphères doivent se faire par un autre processus que la conduction ou la convexion.</w:t>
      </w:r>
    </w:p>
    <w:p>
      <w:pPr>
        <w:numPr>
          <w:ilvl w:val="0"/>
          <w:numId w:val="5"/>
        </w:numPr>
        <w:spacing w:lineRule="auto"/>
      </w:pPr>
      <w:r>
        <w:rPr>
          <w:rFonts w:eastAsia="Georgia" w:cs="Georgia" w:ascii="Georgia" w:hAnsi="Georgia"/>
        </w:rPr>
        <w:t xml:space="preserve">12* - L’empilement précédent est maintenant modélisé par un ensemble de plans parallèles opaques, placés dans le vide, séparés par la distance </w:t>
      </w:r>
      <m:oMath>
        <m:r>
          <m:rPr>
            <m:sty m:val="i"/>
          </m:rPr>
          <m:t>c</m:t>
        </m:r>
        <m:r>
          <m:rPr>
            <m:sty m:val="p"/>
          </m:rPr>
          <m:t>/</m:t>
        </m:r>
        <m:r>
          <m:rPr>
            <m:sty m:val="p"/>
          </m:rPr>
          <m:t>2</m:t>
        </m:r>
      </m:oMath>
      <w:r>
        <w:rPr>
          <w:rFonts w:eastAsia="Georgia" w:cs="Georgia" w:ascii="Georgia" w:hAnsi="Georgia"/>
        </w:rPr>
        <w:t xml:space="preserve">. Que pensez-vous de ce modèle ?</w:t>
      </w:r>
    </w:p>
    <w:p>
      <w:pPr>
        <w:spacing w:after="220" w:lineRule="auto"/>
      </w:pPr>
      <w:r>
        <w:rPr>
          <w:rFonts w:eastAsia="Georgia" w:cs="Georgia" w:ascii="Georgia" w:hAnsi="Georgia"/>
        </w:rPr>
        <w:t xml:space="preserve">13 - On peut caractériser un tel milieu par un coefficient de conductivité thermique dépendant de la température de la forme </w:t>
      </w:r>
      <m:oMath>
        <m:r>
          <m:rPr>
            <m:sty m:val="i"/>
          </m:rPr>
          <m:t>λ</m:t>
        </m:r>
        <m:r>
          <m:rPr>
            <m:sty m:val="p"/>
          </m:rPr>
          <m:t>(</m:t>
        </m:r>
        <m:r>
          <m:rPr>
            <m:sty m:val="i"/>
          </m:rPr>
          <m:t>T</m:t>
        </m:r>
        <m:r>
          <m:rPr>
            <m:sty m:val="p"/>
          </m:rPr>
          <m:t>)</m:t>
        </m:r>
        <m:r>
          <m:rPr>
            <m:sty m:val="p"/>
          </m:rPr>
          <m:t>=</m:t>
        </m:r>
        <m:r>
          <m:rPr>
            <m:sty m:val="i"/>
          </m:rPr>
          <m:t>α</m:t>
        </m:r>
        <m:sSup>
          <m:sSupPr/>
          <m:e>
            <m:r>
              <m:rPr>
                <m:sty m:val="i"/>
              </m:rPr>
              <m:t>T</m:t>
            </m:r>
          </m:e>
          <m:sup>
            <m:r>
              <m:rPr>
                <m:sty m:val="p"/>
              </m:rPr>
              <m:t>3</m:t>
            </m:r>
          </m:sup>
        </m:sSup>
      </m:oMath>
      <w:r>
        <w:rPr/>
        <w:t xml:space="preserve">, avec </w:t>
      </w:r>
      <m:oMath>
        <m:r>
          <m:rPr>
            <m:sty m:val="i"/>
          </m:rPr>
          <m:t>α</m:t>
        </m:r>
        <m:r>
          <m:rPr>
            <m:sty m:val="p"/>
          </m:rPr>
          <m:t>=</m:t>
        </m:r>
        <m:r>
          <m:rPr>
            <m:sty m:val="p"/>
          </m:rPr>
          <m:t>1</m:t>
        </m:r>
        <m:r>
          <m:rPr>
            <m:sty m:val="p"/>
          </m:rPr>
          <m:t>,</m:t>
        </m:r>
        <m:r>
          <m:rPr>
            <m:sty m:val="p"/>
          </m:rPr>
          <m:t>55</m:t>
        </m:r>
        <m:r>
          <m:rPr>
            <m:sty m:val="p"/>
          </m:rPr>
          <m:t>×</m:t>
        </m:r>
        <m:sSup>
          <m:sSupPr/>
          <m:e>
            <m:r>
              <m:rPr>
                <m:sty m:val="p"/>
              </m:rPr>
              <m:t>10</m:t>
            </m:r>
          </m:e>
          <m:sup>
            <m:r>
              <m:rPr>
                <m:sty m:val="p"/>
              </m:rPr>
              <m:t>−</m:t>
            </m:r>
            <m:r>
              <m:rPr>
                <m:sty m:val="p"/>
              </m:rPr>
              <m:t>6</m:t>
            </m:r>
          </m:sup>
        </m:sSup>
      </m:oMath>
      <w:r>
        <w:rPr>
          <w:rFonts w:eastAsia="Georgia" w:cs="Georgia" w:ascii="Georgia" w:hAnsi="Georgia"/>
        </w:rPr>
        <w:t xml:space="preserve"> SI. Comparer l’ordre de grandeur de </w:t>
      </w:r>
      <m:oMath>
        <m:r>
          <m:rPr>
            <m:sty m:val="i"/>
          </m:rPr>
          <m:t>λ</m:t>
        </m:r>
        <m:r>
          <m:rPr>
            <m:sty m:val="p"/>
          </m:rPr>
          <m:t>(</m:t>
        </m:r>
        <m:r>
          <m:rPr>
            <m:sty m:val="i"/>
          </m:rPr>
          <m:t>T</m:t>
        </m:r>
        <m:r>
          <m:rPr>
            <m:sty m:val="p"/>
          </m:rPr>
          <m:t>)</m:t>
        </m:r>
      </m:oMath>
      <w:r>
        <w:rPr>
          <w:rFonts w:eastAsia="Georgia" w:cs="Georgia" w:ascii="Georgia" w:hAnsi="Georgia"/>
        </w:rPr>
        <w:t xml:space="preserve"> obtenu avec ce modèle avec la valeur expérimentale de la conductivité des silicates à la température ambiante : </w:t>
      </w:r>
      <m:oMath>
        <m:sSub>
          <m:sSubPr/>
          <m:e>
            <m:r>
              <m:rPr>
                <m:sty m:val="i"/>
              </m:rPr>
              <m:t>K</m:t>
            </m:r>
          </m:e>
          <m:sub>
            <m:r>
              <m:rPr>
                <m:nor/>
              </m:rPr>
              <m:t>Sil </m:t>
            </m:r>
          </m:sub>
        </m:sSub>
        <m:r>
          <m:rPr>
            <m:sty m:val="p"/>
          </m:rPr>
          <m:t>≈</m:t>
        </m:r>
        <m:r>
          <m:rPr>
            <m:sty m:val="p"/>
          </m:rPr>
          <m:t>1</m:t>
        </m:r>
        <m:r>
          <m:rPr>
            <m:sty m:val="p"/>
          </m:rPr>
          <m:t>,</m:t>
        </m:r>
        <m:r>
          <m:rPr>
            <m:sty m:val="p"/>
          </m:rPr>
          <m:t>11</m:t>
        </m:r>
        <m:r>
          <m:rPr>
            <m:nor/>
          </m:rPr>
          <m:t xml:space="preserve"> </m:t>
        </m:r>
        <m:r>
          <m:rPr>
            <m:sty m:val="p"/>
          </m:rPr>
          <m:t>W</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w:r>
        <w:rPr/>
        <w:t xml:space="preserve">.</w:t>
      </w:r>
      <w:r>
        <w:rPr/>
        <w:br w:type="textWrapping"/>
      </w:r>
      <m:oMath>
        <m:r>
          <m:rPr>
            <m:sty m:val="i"/>
          </m:rPr>
          <m:t>◻</m:t>
        </m:r>
        <m:r>
          <m:rPr>
            <m:sty m:val="p"/>
          </m:rPr>
          <m:t>14</m:t>
        </m:r>
      </m:oMath>
      <w:r>
        <w:rPr>
          <w:rFonts w:eastAsia="Georgia" w:cs="Georgia" w:ascii="Georgia" w:hAnsi="Georgia"/>
        </w:rPr>
        <w:t xml:space="preserve"> - Comparer la densité </w:t>
      </w:r>
      <m:oMath>
        <m:r>
          <m:rPr>
            <m:sty m:val="i"/>
          </m:rPr>
          <m:t>d</m:t>
        </m:r>
      </m:oMath>
      <w:r>
        <w:rPr>
          <w:rFonts w:eastAsia="Georgia" w:cs="Georgia" w:ascii="Georgia" w:hAnsi="Georgia"/>
        </w:rPr>
        <w:t xml:space="preserve"> et la capacité calorifique massique </w:t>
      </w:r>
      <m:oMath>
        <m:r>
          <m:rPr>
            <m:sty m:val="i"/>
          </m:rPr>
          <m:t>c</m:t>
        </m:r>
      </m:oMath>
      <w:r>
        <w:rPr>
          <w:rFonts w:eastAsia="Georgia" w:cs="Georgia" w:ascii="Georgia" w:hAnsi="Georgia"/>
        </w:rPr>
        <w:t xml:space="preserve"> de la couche supérieure avec </w:t>
      </w:r>
      <m:oMath>
        <m:sSub>
          <m:sSubPr/>
          <m:e>
            <m:r>
              <m:rPr>
                <m:sty m:val="i"/>
              </m:rPr>
              <m:t>d</m:t>
            </m:r>
          </m:e>
          <m:sub>
            <m:r>
              <m:rPr>
                <m:nor/>
              </m:rPr>
              <m:t>Sil </m:t>
            </m:r>
          </m:sub>
        </m:sSub>
      </m:oMath>
      <w:r>
        <w:rPr/>
        <w:t xml:space="preserve"> et </w:t>
      </w:r>
      <m:oMath>
        <m:sSub>
          <m:sSubPr/>
          <m:e>
            <m:r>
              <m:rPr>
                <m:sty m:val="i"/>
              </m:rPr>
              <m:t>c</m:t>
            </m:r>
          </m:e>
          <m:sub>
            <m:r>
              <m:rPr>
                <m:nor/>
              </m:rPr>
              <m:t>Sil </m:t>
            </m:r>
          </m:sub>
        </m:sSub>
      </m:oMath>
      <w:r>
        <w:rPr/>
        <w:t xml:space="preserve">.</w:t>
      </w:r>
    </w:p>
    <w:p>
      <w:pPr>
        <w:spacing w:after="220" w:lineRule="auto"/>
      </w:pPr>
      <w:r>
        <w:rPr>
          <w:rFonts w:eastAsia="Georgia" w:cs="Georgia" w:ascii="Georgia" w:hAnsi="Georgia"/>
        </w:rPr>
        <w:t xml:space="preserve">15* - Il est généralement admis que ce sont les couches les plus profondes qui ont les caractéristiques physiques les plus voisines de celles des modèles ci-dessus. Pourquoi ?</w:t>
      </w:r>
    </w:p>
    <w:p>
      <w:pPr>
        <w:spacing w:line="271" w:before="330" w:lineRule="auto"/>
      </w:pPr>
      <w:r>
        <w:rPr>
          <w:rFonts w:eastAsia="Georgia" w:cs="Georgia" w:ascii="Georgia" w:hAnsi="Georgia"/>
          <w:b/>
          <w:sz w:val="42"/>
        </w:rPr>
        <w:t xml:space="preserve">Influence de l'impact des météorites</w:t>
      </w:r>
    </w:p>
    <w:p>
      <w:pPr>
        <w:spacing w:after="220" w:lineRule="auto"/>
      </w:pPr>
      <w:r>
        <w:rPr>
          <w:rFonts w:eastAsia="Georgia" w:cs="Georgia" w:ascii="Georgia" w:hAnsi="Georgia"/>
        </w:rPr>
        <w:t xml:space="preserve">On admet que les météorites heurtant la surface lunaire ont même composition que le sol lunaire. On rappelle que le référentiel de Copernic, ou référentiel héliocentrique, est lié au centre de masse du système solaire et que ses axes pointent vers des étoiles réputées fixes. Le référentiel de Copernic est supposé galiléen.</w:t>
      </w:r>
    </w:p>
    <w:p>
      <w:pPr>
        <w:spacing w:after="220" w:lineRule="auto"/>
      </w:pPr>
      <w:r>
        <w:rPr>
          <w:rFonts w:eastAsia="Georgia" w:cs="Georgia" w:ascii="Georgia" w:hAnsi="Georgia"/>
        </w:rPr>
        <w:t xml:space="preserve">16 - Vérifier que la vitesse d'impact d'une météorite frappant la surface lunaire et de vitesse négligeable dans le référentiel de Copernic est de l’ordre de </w:t>
      </w:r>
      <m:oMath>
        <m:r>
          <m:rPr>
            <m:sty m:val="p"/>
          </m:rPr>
          <m:t>3</m:t>
        </m:r>
        <m:r>
          <m:rPr>
            <m:sty m:val="p"/>
          </m:rPr>
          <m:t>×</m:t>
        </m:r>
        <m:sSup>
          <m:sSupPr/>
          <m:e>
            <m:r>
              <m:rPr>
                <m:sty m:val="p"/>
              </m:rPr>
              <m:t>10</m:t>
            </m:r>
          </m:e>
          <m:sup>
            <m:r>
              <m:rPr>
                <m:sty m:val="p"/>
              </m:rPr>
              <m:t>4</m:t>
            </m:r>
          </m:sup>
        </m:sSup>
        <m:r>
          <m:rPr>
            <m:nor/>
          </m:rPr>
          <m:t xml:space="preserve"> </m:t>
        </m:r>
        <m:r>
          <m:rPr>
            <m:sty m:val="p"/>
          </m:rPr>
          <m:t>m</m:t>
        </m:r>
        <m:r>
          <m:rPr>
            <m:sty m:val="p"/>
          </m:rPr>
          <m:t>.</m:t>
        </m:r>
        <m:sSup>
          <m:sSupPr/>
          <m:e>
            <m:r>
              <m:rPr>
                <m:sty m:val="p"/>
              </m:rPr>
              <m:t>s</m:t>
            </m:r>
          </m:e>
          <m:sup>
            <m:r>
              <m:rPr>
                <m:sty m:val="p"/>
              </m:rPr>
              <m:t>−</m:t>
            </m:r>
            <m:r>
              <m:rPr>
                <m:sty m:val="p"/>
              </m:rPr>
              <m:t>1</m:t>
            </m:r>
          </m:sup>
        </m:sSup>
      </m:oMath>
      <w:r>
        <w:rPr/>
        <w:t xml:space="preserve">.</w:t>
      </w:r>
      <w:r>
        <w:rPr/>
        <w:br w:type="textWrapping"/>
      </w:r>
      <m:oMath>
        <m:r>
          <m:rPr>
            <m:sty m:val="i"/>
          </m:rPr>
          <m:t>◻</m:t>
        </m:r>
        <m:r>
          <m:rPr>
            <m:sty m:val="p"/>
          </m:rPr>
          <m:t>17</m:t>
        </m:r>
      </m:oMath>
      <w:r>
        <w:rPr>
          <w:rFonts w:eastAsia="Georgia" w:cs="Georgia" w:ascii="Georgia" w:hAnsi="Georgia"/>
        </w:rPr>
        <w:t xml:space="preserve"> - Montrer que l'impact d'une météorite de masse </w:t>
      </w:r>
      <m:oMath>
        <m:sSub>
          <m:sSubPr/>
          <m:e>
            <m:r>
              <m:rPr>
                <m:sty m:val="i"/>
              </m:rPr>
              <m:t>m</m:t>
            </m:r>
          </m:e>
          <m:sub>
            <m:r>
              <m:rPr>
                <m:sty m:val="p"/>
              </m:rPr>
              <m:t>1</m:t>
            </m:r>
          </m:sub>
        </m:sSub>
      </m:oMath>
      <w:r>
        <w:rPr>
          <w:rFonts w:eastAsia="Georgia" w:cs="Georgia" w:ascii="Georgia" w:hAnsi="Georgia"/>
        </w:rPr>
        <w:t xml:space="preserve"> peut dégager une énergie suffisante pour porter à l'état liquide une masse </w:t>
      </w:r>
      <m:oMath>
        <m:sSub>
          <m:sSubPr/>
          <m:e>
            <m:r>
              <m:rPr>
                <m:sty m:val="i"/>
              </m:rPr>
              <m:t>m</m:t>
            </m:r>
          </m:e>
          <m:sub>
            <m:r>
              <m:rPr>
                <m:sty m:val="p"/>
              </m:rPr>
              <m:t>2</m:t>
            </m:r>
          </m:sub>
        </m:sSub>
      </m:oMath>
      <w:r>
        <w:rPr>
          <w:rFonts w:eastAsia="Georgia" w:cs="Georgia" w:ascii="Georgia" w:hAnsi="Georgia"/>
        </w:rPr>
        <w:t xml:space="preserve"> de la surface de la Lune. Déterminer puis calculer le rapport </w:t>
      </w:r>
      <m:oMath>
        <m:sSub>
          <m:sSubPr/>
          <m:e>
            <m:r>
              <m:rPr>
                <m:sty m:val="i"/>
              </m:rPr>
              <m:t>m</m:t>
            </m:r>
          </m:e>
          <m:sub>
            <m:r>
              <m:rPr>
                <m:sty m:val="p"/>
              </m:rPr>
              <m:t>2</m:t>
            </m:r>
          </m:sub>
        </m:sSub>
        <m:r>
          <m:rPr>
            <m:sty m:val="p"/>
          </m:rPr>
          <m:t>/</m:t>
        </m:r>
        <m:sSub>
          <m:sSubPr/>
          <m:e>
            <m:r>
              <m:rPr>
                <m:sty m:val="i"/>
              </m:rPr>
              <m:t>m</m:t>
            </m:r>
          </m:e>
          <m:sub>
            <m:r>
              <m:rPr>
                <m:sty m:val="p"/>
              </m:rPr>
              <m:t>1</m:t>
            </m:r>
          </m:sub>
        </m:sSub>
      </m:oMath>
      <w:r>
        <w:rPr/>
        <w:t xml:space="preserve">.</w:t>
      </w:r>
      <w:r>
        <w:rPr/>
        <w:br w:type="textWrapping"/>
      </w:r>
      <m:oMath>
        <m:r>
          <m:rPr>
            <m:sty m:val="i"/>
          </m:rPr>
          <m:t>◻</m:t>
        </m:r>
      </m:oMath>
      <w:r>
        <w:rPr>
          <w:rFonts w:eastAsia="Georgia" w:cs="Georgia" w:ascii="Georgia" w:hAnsi="Georgia"/>
        </w:rPr>
        <w:t xml:space="preserve"> 18* - La solidification du matériau en fusion n'est pas sans effet sur la nature des transferts thermiques ultérieurs. Vers quelle valeur se rapproche alors la conductivité thermique calculée précédemment?</w:t>
      </w:r>
    </w:p>
    <w:p>
      <w:pPr>
        <w:spacing w:line="271" w:before="330" w:lineRule="auto"/>
      </w:pPr>
      <w:r>
        <w:rPr>
          <w:rFonts w:eastAsia="Georgia" w:cs="Georgia" w:ascii="Georgia" w:hAnsi="Georgia"/>
          <w:b/>
          <w:sz w:val="42"/>
        </w:rPr>
        <w:t xml:space="preserve">Stabilité du sol lunaire</w:t>
      </w:r>
    </w:p>
    <w:p>
      <w:pPr>
        <w:spacing w:after="220" w:lineRule="auto"/>
      </w:pPr>
      <w:r>
        <w:rPr>
          <w:rFonts w:eastAsia="Georgia" w:cs="Georgia" w:ascii="Georgia" w:hAnsi="Georgia"/>
        </w:rPr>
        <w:t xml:space="preserve">On fait ici l'hypothèse d'une Lune homogène et de caractéristiques physiques identiques à celles des silicates. La température de tout point de la Lune est indépendante du temps. La température de surface est </w:t>
      </w:r>
      <m:oMath>
        <m:sSub>
          <m:sSubPr/>
          <m:e>
            <m:r>
              <m:rPr>
                <m:sty m:val="i"/>
              </m:rPr>
              <m:t>T</m:t>
            </m:r>
          </m:e>
          <m:sub>
            <m:r>
              <m:rPr>
                <m:sty m:val="i"/>
              </m:rPr>
              <m:t>s</m:t>
            </m:r>
            <m:r>
              <m:rPr>
                <m:sty m:val="p"/>
              </m:rPr>
              <m:t>,</m:t>
            </m:r>
            <m:r>
              <m:rPr>
                <m:sty m:val="i"/>
              </m:rPr>
              <m:t>L</m:t>
            </m:r>
          </m:sub>
        </m:sSub>
        <m:r>
          <m:rPr>
            <m:sty m:val="p"/>
          </m:rPr>
          <m:t>=</m:t>
        </m:r>
        <m:r>
          <m:rPr>
            <m:sty m:val="p"/>
          </m:rPr>
          <m:t>290</m:t>
        </m:r>
        <m:r>
          <m:rPr>
            <m:nor/>
          </m:rPr>
          <m:t xml:space="preserve"> </m:t>
        </m:r>
        <m:r>
          <m:rPr>
            <m:sty m:val="p"/>
          </m:rPr>
          <m:t>K</m:t>
        </m:r>
      </m:oMath>
      <w:r>
        <w:rPr>
          <w:rFonts w:eastAsia="Georgia" w:cs="Georgia" w:ascii="Georgia" w:hAnsi="Georgia"/>
        </w:rPr>
        <w:t xml:space="preserve">. La puissance volumique moyenne libérée par les roches lunaires est évaluée à </w:t>
      </w:r>
      <m:oMath>
        <m:sSub>
          <m:sSubPr/>
          <m:e>
            <m:r>
              <m:rPr>
                <m:sty m:val="i"/>
              </m:rPr>
              <m:t>p</m:t>
            </m:r>
          </m:e>
          <m:sub>
            <m:r>
              <m:rPr>
                <m:sty m:val="i"/>
              </m:rPr>
              <m:t>L</m:t>
            </m:r>
          </m:sub>
        </m:sSub>
        <m:r>
          <m:rPr>
            <m:sty m:val="p"/>
          </m:rPr>
          <m:t>≈</m:t>
        </m:r>
        <m:sSup>
          <m:sSupPr/>
          <m:e>
            <m:r>
              <m:rPr>
                <m:sty m:val="p"/>
              </m:rPr>
              <m:t>10</m:t>
            </m:r>
          </m:e>
          <m:sup>
            <m:r>
              <m:rPr>
                <m:sty m:val="p"/>
              </m:rPr>
              <m:t>−</m:t>
            </m:r>
            <m:r>
              <m:rPr>
                <m:sty m:val="p"/>
              </m:rPr>
              <m:t>8</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3</m:t>
            </m:r>
          </m:sup>
        </m:sSup>
      </m:oMath>
      <w:r>
        <w:rPr/>
        <w:t xml:space="preserve">.</w:t>
      </w:r>
      <w:r>
        <w:rPr/>
        <w:br w:type="textWrapping"/>
      </w:r>
      <m:oMath>
        <m:r>
          <m:rPr>
            <m:sty m:val="i"/>
          </m:rPr>
          <m:t>◻</m:t>
        </m:r>
        <m:r>
          <m:rPr>
            <m:sty m:val="p"/>
          </m:rPr>
          <m:t>19</m:t>
        </m:r>
      </m:oMath>
      <w:r>
        <w:rPr>
          <w:rFonts w:eastAsia="Georgia" w:cs="Georgia" w:ascii="Georgia" w:hAnsi="Georgia"/>
        </w:rPr>
        <w:t xml:space="preserve"> - Effectuer un bilan thermique pour une boule sphérique de rayon </w:t>
      </w:r>
      <m:oMath>
        <m:r>
          <m:rPr>
            <m:sty m:val="i"/>
          </m:rPr>
          <m:t>r</m:t>
        </m:r>
        <m:r>
          <m:rPr>
            <m:sty m:val="p"/>
          </m:rPr>
          <m:t>&lt;</m:t>
        </m:r>
        <m:sSub>
          <m:sSubPr/>
          <m:e>
            <m:r>
              <m:rPr>
                <m:sty m:val="i"/>
              </m:rPr>
              <m:t>R</m:t>
            </m:r>
          </m:e>
          <m:sub>
            <m:r>
              <m:rPr>
                <m:sty m:val="i"/>
              </m:rPr>
              <m:t>L</m:t>
            </m:r>
          </m:sub>
        </m:sSub>
      </m:oMath>
      <w:r>
        <w:rPr>
          <w:rFonts w:eastAsia="Georgia" w:cs="Georgia" w:ascii="Georgia" w:hAnsi="Georgia"/>
        </w:rPr>
        <w:t xml:space="preserve"> centrée au centre de la Lune (ou pour un élément de volume d'épaisseur </w:t>
      </w:r>
      <m:oMath>
        <m:r>
          <m:rPr>
            <m:sty m:val="p"/>
          </m:rPr>
          <m:t>d</m:t>
        </m:r>
        <m:r>
          <m:rPr>
            <m:sty m:val="i"/>
          </m:rPr>
          <m:t>r</m:t>
        </m:r>
      </m:oMath>
      <w:r>
        <w:rPr>
          <w:rFonts w:eastAsia="Georgia" w:cs="Georgia" w:ascii="Georgia" w:hAnsi="Georgia"/>
        </w:rPr>
        <w:t xml:space="preserve"> à la distance </w:t>
      </w:r>
      <m:oMath>
        <m:r>
          <m:rPr>
            <m:sty m:val="i"/>
          </m:rPr>
          <m:t>r</m:t>
        </m:r>
      </m:oMath>
      <w:r>
        <w:rPr>
          <w:rFonts w:eastAsia="Georgia" w:cs="Georgia" w:ascii="Georgia" w:hAnsi="Georgia"/>
        </w:rPr>
        <w:t xml:space="preserve"> du centre de la Lune). En déduire que la température </w:t>
      </w:r>
      <m:oMath>
        <m:r>
          <m:rPr>
            <m:sty m:val="i"/>
          </m:rPr>
          <m:t>T</m:t>
        </m:r>
        <m:r>
          <m:rPr>
            <m:sty m:val="p"/>
          </m:rPr>
          <m:t>(</m:t>
        </m:r>
        <m:r>
          <m:rPr>
            <m:sty m:val="i"/>
          </m:rPr>
          <m:t>r</m:t>
        </m:r>
        <m:r>
          <m:rPr>
            <m:sty m:val="p"/>
          </m:rPr>
          <m:t>)</m:t>
        </m:r>
      </m:oMath>
      <w:r>
        <w:rPr>
          <w:rFonts w:eastAsia="Georgia" w:cs="Georgia" w:ascii="Georgia" w:hAnsi="Georgia"/>
        </w:rPr>
        <w:t xml:space="preserve"> à la distance </w:t>
      </w:r>
      <m:oMath>
        <m:r>
          <m:rPr>
            <m:sty m:val="i"/>
          </m:rPr>
          <m:t>r</m:t>
        </m:r>
      </m:oMath>
      <w:r>
        <w:rPr/>
        <w:t xml:space="preserve"> du centre de la Lune est :</w:t>
      </w:r>
    </w:p>
    <w:p>
      <w:pPr>
        <w:spacing w:after="220" w:lineRule="auto"/>
      </w:pPr>
      <m:oMathPara>
        <m:oMath>
          <m:r>
            <m:rPr>
              <m:sty m:val="i"/>
            </m:rPr>
            <m:t>T</m:t>
          </m:r>
          <m:r>
            <m:rPr>
              <m:sty m:val="p"/>
            </m:rPr>
            <m:t>(</m:t>
          </m:r>
          <m:r>
            <m:rPr>
              <m:sty m:val="i"/>
            </m:rPr>
            <m:t>r</m:t>
          </m:r>
          <m:r>
            <m:rPr>
              <m:sty m:val="p"/>
            </m:rPr>
            <m:t>)</m:t>
          </m:r>
          <m:r>
            <m:rPr>
              <m:sty m:val="p"/>
            </m:rPr>
            <m:t>=</m:t>
          </m:r>
          <m:sSub>
            <m:sSubPr/>
            <m:e>
              <m:r>
                <m:rPr>
                  <m:sty m:val="i"/>
                </m:rPr>
                <m:t>T</m:t>
              </m:r>
            </m:e>
            <m:sub>
              <m:r>
                <m:rPr>
                  <m:sty m:val="i"/>
                </m:rPr>
                <m:t>s</m:t>
              </m:r>
              <m:r>
                <m:rPr>
                  <m:sty m:val="i"/>
                </m:rPr>
                <m:t>L</m:t>
              </m:r>
            </m:sub>
          </m:sSub>
          <m:r>
            <m:rPr>
              <m:sty m:val="p"/>
            </m:rPr>
            <m:t>+</m:t>
          </m:r>
          <m:d>
            <m:dPr>
              <m:begChr m:val="("/>
              <m:endChr m:val=")"/>
              <m:ctrlPr>
                <w:rPr>
                  <w:rFonts w:ascii="Cambria Math" w:hAnsi="Cambria Math"/>
                </w:rPr>
              </m:ctrlPr>
            </m:dPr>
            <m:e>
              <m:sSubSup>
                <m:sSubSupPr/>
                <m:e>
                  <m:r>
                    <m:rPr>
                      <m:sty m:val="i"/>
                    </m:rPr>
                    <m:t>R</m:t>
                  </m:r>
                </m:e>
                <m:sub>
                  <m:r>
                    <m:rPr>
                      <m:sty m:val="i"/>
                    </m:rPr>
                    <m:t>L</m:t>
                  </m:r>
                </m:sub>
                <m:sup>
                  <m:r>
                    <m:rPr>
                      <m:sty m:val="p"/>
                    </m:rPr>
                    <m:t>2</m:t>
                  </m:r>
                </m:sup>
              </m:sSubSup>
              <m:r>
                <m:rPr>
                  <m:sty m:val="p"/>
                </m:rPr>
                <m:t>−</m:t>
              </m:r>
              <m:sSup>
                <m:sSupPr/>
                <m:e>
                  <m:r>
                    <m:rPr>
                      <m:sty m:val="i"/>
                    </m:rPr>
                    <m:t>r</m:t>
                  </m:r>
                </m:e>
                <m:sup>
                  <m:r>
                    <m:rPr>
                      <m:sty m:val="p"/>
                    </m:rPr>
                    <m:t>2</m:t>
                  </m:r>
                </m:sup>
              </m:sSup>
            </m:e>
          </m:d>
          <m:f>
            <m:fPr>
              <m:ctrlPr>
                <w:rPr>
                  <w:rFonts w:ascii="Cambria Math" w:hAnsi="Cambria Math"/>
                </w:rPr>
              </m:ctrlPr>
            </m:fPr>
            <m:num>
              <m:sSub>
                <m:sSubPr/>
                <m:e>
                  <m:r>
                    <m:rPr>
                      <m:sty m:val="i"/>
                    </m:rPr>
                    <m:t>p</m:t>
                  </m:r>
                </m:e>
                <m:sub>
                  <m:r>
                    <m:rPr>
                      <m:sty m:val="i"/>
                    </m:rPr>
                    <m:t>L</m:t>
                  </m:r>
                </m:sub>
              </m:sSub>
            </m:num>
            <m:den>
              <m:r>
                <m:rPr>
                  <m:sty m:val="p"/>
                </m:rPr>
                <m:t>6</m:t>
              </m:r>
              <m:sSub>
                <m:sSubPr/>
                <m:e>
                  <m:r>
                    <m:rPr>
                      <m:sty m:val="i"/>
                    </m:rPr>
                    <m:t>K</m:t>
                  </m:r>
                </m:e>
                <m:sub>
                  <m:r>
                    <m:rPr>
                      <m:sty m:val="i"/>
                    </m:rPr>
                    <m:t>s</m:t>
                  </m:r>
                  <m:r>
                    <m:rPr>
                      <m:sty m:val="i"/>
                    </m:rPr>
                    <m:t>i</m:t>
                  </m:r>
                  <m:r>
                    <m:rPr>
                      <m:sty m:val="i"/>
                    </m:rPr>
                    <m:t>l</m:t>
                  </m:r>
                </m:sub>
              </m:sSub>
            </m:den>
          </m:f>
          <m:r>
            <m:rPr>
              <m:sty m:val="p"/>
            </m:rPr>
            <m:t>.</m:t>
          </m:r>
        </m:oMath>
      </m:oMathPara>
    </w:p>
    <w:p>
      <w:pPr>
        <w:spacing w:after="220" w:lineRule="auto"/>
      </w:pPr>
      <w:r>
        <w:rPr>
          <w:rFonts w:eastAsia="Georgia" w:cs="Georgia" w:ascii="Georgia" w:hAnsi="Georgia"/>
        </w:rPr>
        <w:t xml:space="preserve">20 - Calculer la température au centre de la Lune. Que peut-on prévoir pour l’état de la roche dans cette région?</w:t>
      </w:r>
    </w:p>
    <w:p>
      <w:pPr>
        <w:numPr>
          <w:ilvl w:val="0"/>
          <w:numId w:val="6"/>
        </w:numPr>
        <w:spacing w:lineRule="auto"/>
      </w:pPr>
      <w:r>
        <w:rPr>
          <w:rFonts w:eastAsia="Georgia" w:cs="Georgia" w:ascii="Georgia" w:hAnsi="Georgia"/>
        </w:rPr>
        <w:t xml:space="preserve">21 - À la pression atmosphérique terrestre, la température de fusion des silicates est proche de 1500 K . Compte tenu de cette donnée, évaluer l'épaisseur du manteau solide de la Lune. Cette épaisseur, ainsi calculée, est inférieure à l'épaisseur véritable. Quelle est la principale faiblesse de ce modèle rudimentaire ?</w:t>
      </w:r>
    </w:p>
    <w:p>
      <w:pPr>
        <w:numPr>
          <w:ilvl w:val="0"/>
          <w:numId w:val="6"/>
        </w:numPr>
        <w:spacing w:lineRule="auto"/>
      </w:pPr>
      <w:r>
        <w:rPr>
          <w:rFonts w:eastAsia="Georgia" w:cs="Georgia" w:ascii="Georgia" w:hAnsi="Georgia"/>
        </w:rPr>
        <w:t xml:space="preserve">22 - La radioactivité de la Lune est essentiellement liée au potassium 40 de période radioactive proche de 1,5 milliards d'années. La période radioactive est le temps au bout duquel la puissance radioactive a diminué de moitié. Donner un ordre de grandeur de l'épaisseur du manteau solide lors de la formation de la Lune, il y a 4,5 milliards d'années.</w:t>
      </w:r>
    </w:p>
    <w:p>
      <w:pPr>
        <w:spacing w:after="220" w:lineRule="auto"/>
      </w:pPr>
      <w:r>
        <w:rPr>
          <w:rFonts w:eastAsia="Georgia" w:cs="Georgia" w:ascii="Georgia" w:hAnsi="Georgia"/>
        </w:rPr>
        <w:t xml:space="preserve">23* - Il est généralement convenu que le champ magnétique des astres est dû à la rotation d'un noyau liquide conducteur ; indiquer dans ces conditions la nature de l'évolution du champ magnétique de cet «astre mort».</w:t>
      </w:r>
    </w:p>
    <w:p>
      <w:pPr>
        <w:spacing w:line="271" w:before="330" w:lineRule="auto"/>
      </w:pPr>
      <w:r>
        <w:rPr>
          <w:rFonts w:eastAsia="Georgia" w:cs="Georgia" w:ascii="Georgia" w:hAnsi="Georgia"/>
          <w:b/>
          <w:sz w:val="42"/>
        </w:rPr>
        <w:t xml:space="preserve">IV Atmosphère lunaire.</w:t>
      </w:r>
    </w:p>
    <w:p>
      <w:pPr>
        <w:spacing w:after="220" w:lineRule="auto"/>
      </w:pPr>
      <w:r>
        <w:rPr>
          <w:rFonts w:eastAsia="Georgia" w:cs="Georgia" w:ascii="Georgia" w:hAnsi="Georgia"/>
        </w:rPr>
        <w:t xml:space="preserve">Un gaz parfait, possédant par unité de volume </w:t>
      </w:r>
      <m:oMath>
        <m:r>
          <m:rPr>
            <m:sty m:val="i"/>
          </m:rPr>
          <m:t>n</m:t>
        </m:r>
      </m:oMath>
      <w:r>
        <w:rPr>
          <w:rFonts w:eastAsia="Georgia" w:cs="Georgia" w:ascii="Georgia" w:hAnsi="Georgia"/>
        </w:rPr>
        <w:t xml:space="preserve"> molécules de masse </w:t>
      </w:r>
      <m:oMath>
        <m:r>
          <m:rPr>
            <m:sty m:val="i"/>
          </m:rPr>
          <m:t>m</m:t>
        </m:r>
      </m:oMath>
      <w:r>
        <w:rPr/>
        <w:t xml:space="preserve">, exerce sur une surface une pression </w:t>
      </w:r>
      <m:oMath>
        <m:r>
          <m:rPr>
            <m:sty m:val="i"/>
          </m:rPr>
          <m:t>P</m:t>
        </m:r>
      </m:oMath>
      <w:r>
        <w:rPr>
          <w:rFonts w:eastAsia="Georgia" w:cs="Georgia" w:ascii="Georgia" w:hAnsi="Georgia"/>
        </w:rPr>
        <w:t xml:space="preserve">. Les molécules de ce gaz sont homocinétiques, c'est-à-dire de vecteur vitesse </w:t>
      </w:r>
      <m:oMath>
        <m:r>
          <m:rPr>
            <m:sty m:val="b"/>
          </m:rPr>
          <m:t>v</m:t>
        </m:r>
      </m:oMath>
      <w:r>
        <w:rPr/>
        <w:t xml:space="preserve"> de norme </w:t>
      </w:r>
      <m:oMath>
        <m:r>
          <m:rPr>
            <m:sty m:val="i"/>
          </m:rPr>
          <m:t>U</m:t>
        </m:r>
      </m:oMath>
      <w:r>
        <w:rPr>
          <w:rFonts w:eastAsia="Georgia" w:cs="Georgia" w:ascii="Georgia" w:hAnsi="Georgia"/>
        </w:rPr>
        <w:t xml:space="preserve"> constante, mais d'orientation aléatoire. Les molécules de gaz subissent des chocs élastiques sur la surface. Il s'en déduit l'expression </w:t>
      </w:r>
      <m:oMath>
        <m:r>
          <m:rPr>
            <m:sty m:val="i"/>
          </m:rPr>
          <m:t>P</m:t>
        </m:r>
        <m:r>
          <m:rPr>
            <m:sty m:val="p"/>
          </m:rPr>
          <m:t>=</m:t>
        </m:r>
        <m:f>
          <m:fPr>
            <m:ctrlPr>
              <w:rPr>
                <w:rFonts w:ascii="Cambria Math" w:hAnsi="Cambria Math"/>
              </w:rPr>
            </m:ctrlPr>
          </m:fPr>
          <m:num>
            <m:r>
              <m:rPr>
                <m:sty m:val="p"/>
              </m:rPr>
              <m:t>1</m:t>
            </m:r>
          </m:num>
          <m:den>
            <m:r>
              <m:rPr>
                <m:sty m:val="p"/>
              </m:rPr>
              <m:t>3</m:t>
            </m:r>
          </m:den>
        </m:f>
        <m:r>
          <m:rPr>
            <m:sty m:val="i"/>
          </m:rPr>
          <m:t>n</m:t>
        </m:r>
        <m:r>
          <m:rPr>
            <m:sty m:val="i"/>
          </m:rPr>
          <m:t>m</m:t>
        </m:r>
        <m:sSup>
          <m:sSupPr/>
          <m:e>
            <m:r>
              <m:rPr>
                <m:sty m:val="i"/>
              </m:rPr>
              <m:t>v</m:t>
            </m:r>
          </m:e>
          <m:sup>
            <m:r>
              <m:rPr>
                <m:sty m:val="p"/>
              </m:rPr>
              <m:t>2</m:t>
            </m:r>
          </m:sup>
        </m:sSup>
      </m:oMath>
      <w:r>
        <w:rPr/>
        <w:t xml:space="preserve">.</w:t>
      </w:r>
    </w:p>
    <w:p>
      <w:pPr>
        <w:spacing w:after="220" w:lineRule="auto"/>
      </w:pPr>
      <w:r>
        <w:rPr>
          <w:rFonts w:eastAsia="Georgia" w:cs="Georgia" w:ascii="Georgia" w:hAnsi="Georgia"/>
        </w:rPr>
        <w:t xml:space="preserve">24 - L'atmosphère lunaire est majoritairement composée d'atomes d'argon, libéré lors des réactions nucléaires au sein des roches lunaires. Sachant que la masse molaire </w:t>
      </w:r>
      <m:oMath>
        <m:r>
          <m:rPr>
            <m:sty m:val="i"/>
          </m:rPr>
          <m:t>M</m:t>
        </m:r>
      </m:oMath>
      <w:r>
        <w:rPr>
          <w:rFonts w:eastAsia="Georgia" w:cs="Georgia" w:ascii="Georgia" w:hAnsi="Georgia"/>
        </w:rPr>
        <w:t xml:space="preserve"> de ce gaz vaut 40 g , et en utilisant l'équation des gaz parfaits, calculer </w:t>
      </w:r>
      <m:oMath>
        <m:r>
          <m:rPr>
            <m:sty m:val="i"/>
          </m:rPr>
          <m:t>U</m:t>
        </m:r>
      </m:oMath>
      <w:r>
        <w:rPr/>
        <w:t xml:space="preserve"> pour </w:t>
      </w:r>
      <m:oMath>
        <m:r>
          <m:rPr>
            <m:sty m:val="i"/>
          </m:rPr>
          <m:t>T</m:t>
        </m:r>
        <m:r>
          <m:rPr>
            <m:sty m:val="p"/>
          </m:rPr>
          <m:t>=</m:t>
        </m:r>
        <m:r>
          <m:rPr>
            <m:sty m:val="p"/>
          </m:rPr>
          <m:t>300</m:t>
        </m:r>
        <m:r>
          <m:rPr>
            <m:nor/>
          </m:rPr>
          <m:t xml:space="preserve"> </m:t>
        </m:r>
        <m:r>
          <m:rPr>
            <m:sty m:val="p"/>
          </m:rPr>
          <m:t>K</m:t>
        </m:r>
      </m:oMath>
      <w:r>
        <w:rPr/>
        <w:t xml:space="preserve">.</w:t>
      </w:r>
      <w:r>
        <w:rPr/>
        <w:br w:type="textWrapping"/>
      </w:r>
      <m:oMath>
        <m:r>
          <m:rPr>
            <m:sty m:val="i"/>
          </m:rPr>
          <m:t>◻</m:t>
        </m:r>
        <m:r>
          <m:rPr>
            <m:sty m:val="p"/>
          </m:rPr>
          <m:t>25</m:t>
        </m:r>
      </m:oMath>
      <w:r>
        <w:rPr/>
        <w:t xml:space="preserve"> - On note </w:t>
      </w:r>
      <m:oMath>
        <m:sSub>
          <m:sSubPr/>
          <m:e>
            <m:r>
              <m:rPr>
                <m:sty m:val="i"/>
              </m:rPr>
              <m:t>u</m:t>
            </m:r>
          </m:e>
          <m:sub>
            <m:r>
              <m:rPr>
                <m:sty m:val="p"/>
              </m:rPr>
              <m:t>1</m:t>
            </m:r>
          </m:sub>
        </m:sSub>
      </m:oMath>
      <w:r>
        <w:rPr>
          <w:rFonts w:eastAsia="Georgia" w:cs="Georgia" w:ascii="Georgia" w:hAnsi="Georgia"/>
        </w:rPr>
        <w:t xml:space="preserve"> la vitesse de libération lunaire; c’est la vitesse minimale d’un objet pouvant échapper à l'attraction gravitationnelle lunaire. Exprimer puis calculer la vitesse de libération lunaire. En déduire qu'une atmosphère lunaire ne saurait subsister.</w:t>
      </w:r>
    </w:p>
    <w:p>
      <w:pPr>
        <w:spacing w:line="271" w:before="330" w:lineRule="auto"/>
      </w:pPr>
      <w:r>
        <w:rPr>
          <w:rFonts w:eastAsia="Georgia" w:cs="Georgia" w:ascii="Georgia" w:hAnsi="Georgia"/>
          <w:b/>
          <w:sz w:val="42"/>
        </w:rPr>
        <w:t xml:space="preserve">Fin du problème</w:t>
      </w:r>
    </w:p>
    <w:p>
      <w:pPr>
        <w:spacing w:line="271" w:before="330" w:lineRule="auto"/>
      </w:pPr>
      <w:r>
        <w:rPr>
          <w:rFonts w:eastAsia="Georgia" w:cs="Georgia" w:ascii="Georgia" w:hAnsi="Georgia"/>
          <w:b/>
          <w:sz w:val="42"/>
        </w:rPr>
        <w:t xml:space="preserve">Données numériques</w:t>
      </w:r>
    </w:p>
    <w:p>
      <w:pPr>
        <w:spacing w:line="271" w:before="330" w:lineRule="auto"/>
      </w:pPr>
      <w:r>
        <w:rPr>
          <w:b/>
          <w:sz w:val="42"/>
        </w:rPr>
        <w:t xml:space="preserve">Soleil</w:t>
      </w:r>
    </w:p>
    <w:p>
      <w:pPr>
        <w:numPr>
          <w:ilvl w:val="0"/>
          <w:numId w:val="7"/>
        </w:numPr>
        <w:spacing w:lineRule="auto"/>
      </w:pPr>
      <w:r>
        <w:rPr/>
        <w:t xml:space="preserve">Rayon </w:t>
      </w:r>
      <m:oMath>
        <m:sSub>
          <m:sSubPr/>
          <m:e>
            <m:r>
              <m:rPr>
                <m:sty m:val="i"/>
              </m:rPr>
              <m:t>R</m:t>
            </m:r>
          </m:e>
          <m:sub>
            <m:r>
              <m:rPr>
                <m:sty m:val="i"/>
              </m:rPr>
              <m:t>S</m:t>
            </m:r>
          </m:sub>
        </m:sSub>
        <m:r>
          <m:rPr>
            <m:sty m:val="p"/>
          </m:rPr>
          <m:t>≈</m:t>
        </m:r>
        <m:r>
          <m:rPr>
            <m:sty m:val="p"/>
          </m:rPr>
          <m:t>7</m:t>
        </m:r>
        <m:r>
          <m:rPr>
            <m:sty m:val="p"/>
          </m:rPr>
          <m:t>×</m:t>
        </m:r>
        <m:sSup>
          <m:sSupPr/>
          <m:e>
            <m:r>
              <m:rPr>
                <m:sty m:val="p"/>
              </m:rPr>
              <m:t>10</m:t>
            </m:r>
          </m:e>
          <m:sup>
            <m:r>
              <m:rPr>
                <m:sty m:val="p"/>
              </m:rPr>
              <m:t>5</m:t>
            </m:r>
          </m:sup>
        </m:sSup>
        <m:r>
          <m:rPr>
            <m:nor/>
          </m:rPr>
          <m:t xml:space="preserve"> </m:t>
        </m:r>
        <m:r>
          <m:rPr>
            <m:sty m:val="p"/>
          </m:rPr>
          <m:t>km</m:t>
        </m:r>
      </m:oMath>
    </w:p>
    <w:p>
      <w:pPr>
        <w:numPr>
          <w:ilvl w:val="0"/>
          <w:numId w:val="7"/>
        </w:numPr>
        <w:spacing w:lineRule="auto"/>
      </w:pPr>
      <w:r>
        <w:rPr>
          <w:rFonts w:eastAsia="Georgia" w:cs="Georgia" w:ascii="Georgia" w:hAnsi="Georgia"/>
        </w:rPr>
        <w:t xml:space="preserve">Température de surface </w:t>
      </w:r>
      <m:oMath>
        <m:sSub>
          <m:sSubPr/>
          <m:e>
            <m:r>
              <m:rPr>
                <m:sty m:val="i"/>
              </m:rPr>
              <m:t>T</m:t>
            </m:r>
          </m:e>
          <m:sub>
            <m:r>
              <m:rPr>
                <m:sty m:val="i"/>
              </m:rPr>
              <m:t>S</m:t>
            </m:r>
          </m:sub>
        </m:sSub>
        <m:r>
          <m:rPr>
            <m:sty m:val="p"/>
          </m:rPr>
          <m:t>≈</m:t>
        </m:r>
        <m:r>
          <m:rPr>
            <m:sty m:val="p"/>
          </m:rPr>
          <m:t>5800</m:t>
        </m:r>
        <m:r>
          <m:rPr>
            <m:nor/>
          </m:rPr>
          <m:t xml:space="preserve"> </m:t>
        </m:r>
        <m:r>
          <m:rPr>
            <m:sty m:val="p"/>
          </m:rPr>
          <m:t>K</m:t>
        </m:r>
      </m:oMath>
    </w:p>
    <w:p>
      <w:pPr>
        <w:spacing w:line="271" w:before="330" w:lineRule="auto"/>
      </w:pPr>
      <w:r>
        <w:rPr>
          <w:b/>
          <w:sz w:val="42"/>
        </w:rPr>
        <w:t xml:space="preserve">Terre</w:t>
      </w:r>
    </w:p>
    <w:p>
      <w:pPr>
        <w:numPr>
          <w:ilvl w:val="0"/>
          <w:numId w:val="8"/>
        </w:numPr>
        <w:spacing w:lineRule="auto"/>
      </w:pPr>
      <w:r>
        <w:rPr/>
        <w:t xml:space="preserve">Rayon terrestre </w:t>
      </w:r>
      <m:oMath>
        <m:sSub>
          <m:sSubPr/>
          <m:e>
            <m:r>
              <m:rPr>
                <m:sty m:val="i"/>
              </m:rPr>
              <m:t>R</m:t>
            </m:r>
          </m:e>
          <m:sub>
            <m:r>
              <m:rPr>
                <m:sty m:val="i"/>
              </m:rPr>
              <m:t>T</m:t>
            </m:r>
          </m:sub>
        </m:sSub>
        <m:r>
          <m:rPr>
            <m:sty m:val="p"/>
          </m:rPr>
          <m:t>≈</m:t>
        </m:r>
        <m:r>
          <m:rPr>
            <m:sty m:val="p"/>
          </m:rPr>
          <m:t>6</m:t>
        </m:r>
        <m:r>
          <m:rPr>
            <m:sty m:val="p"/>
          </m:rPr>
          <m:t>,</m:t>
        </m:r>
        <m:r>
          <m:rPr>
            <m:sty m:val="p"/>
          </m:rPr>
          <m:t>38</m:t>
        </m:r>
        <m:r>
          <m:rPr>
            <m:sty m:val="p"/>
          </m:rPr>
          <m:t>×</m:t>
        </m:r>
        <m:sSup>
          <m:sSupPr/>
          <m:e>
            <m:r>
              <m:rPr>
                <m:sty m:val="p"/>
              </m:rPr>
              <m:t>10</m:t>
            </m:r>
          </m:e>
          <m:sup>
            <m:r>
              <m:rPr>
                <m:sty m:val="p"/>
              </m:rPr>
              <m:t>3</m:t>
            </m:r>
          </m:sup>
        </m:sSup>
        <m:r>
          <m:rPr>
            <m:nor/>
          </m:rPr>
          <m:t xml:space="preserve"> </m:t>
        </m:r>
        <m:r>
          <m:rPr>
            <m:sty m:val="p"/>
          </m:rPr>
          <m:t>km</m:t>
        </m:r>
      </m:oMath>
    </w:p>
    <w:p>
      <w:pPr>
        <w:numPr>
          <w:ilvl w:val="0"/>
          <w:numId w:val="8"/>
        </w:numPr>
        <w:spacing w:lineRule="auto"/>
      </w:pPr>
      <w:r>
        <w:rPr/>
        <w:t xml:space="preserve">Distance Terre-Soleil </w:t>
      </w:r>
      <m:oMath>
        <m:sSub>
          <m:sSubPr/>
          <m:e>
            <m:r>
              <m:rPr>
                <m:sty m:val="i"/>
              </m:rPr>
              <m:t>D</m:t>
            </m:r>
          </m:e>
          <m:sub>
            <m:r>
              <m:rPr>
                <m:sty m:val="i"/>
              </m:rPr>
              <m:t>S</m:t>
            </m:r>
            <m:r>
              <m:rPr>
                <m:sty m:val="i"/>
              </m:rPr>
              <m:t>T</m:t>
            </m:r>
          </m:sub>
        </m:sSub>
        <m:r>
          <m:rPr>
            <m:sty m:val="p"/>
          </m:rPr>
          <m:t>≈</m:t>
        </m:r>
        <m:r>
          <m:rPr>
            <m:sty m:val="p"/>
          </m:rPr>
          <m:t>1</m:t>
        </m:r>
        <m:r>
          <m:rPr>
            <m:sty m:val="p"/>
          </m:rPr>
          <m:t>,</m:t>
        </m:r>
        <m:r>
          <m:rPr>
            <m:sty m:val="p"/>
          </m:rPr>
          <m:t>5</m:t>
        </m:r>
        <m:r>
          <m:rPr>
            <m:sty m:val="p"/>
          </m:rPr>
          <m:t>×</m:t>
        </m:r>
        <m:sSup>
          <m:sSupPr/>
          <m:e>
            <m:r>
              <m:rPr>
                <m:sty m:val="p"/>
              </m:rPr>
              <m:t>10</m:t>
            </m:r>
          </m:e>
          <m:sup>
            <m:r>
              <m:rPr>
                <m:sty m:val="p"/>
              </m:rPr>
              <m:t>8</m:t>
            </m:r>
          </m:sup>
        </m:sSup>
        <m:r>
          <m:rPr>
            <m:nor/>
          </m:rPr>
          <m:t xml:space="preserve"> </m:t>
        </m:r>
        <m:r>
          <m:rPr>
            <m:sty m:val="p"/>
          </m:rPr>
          <m:t>km</m:t>
        </m:r>
      </m:oMath>
    </w:p>
    <w:p>
      <w:pPr>
        <w:numPr>
          <w:ilvl w:val="0"/>
          <w:numId w:val="8"/>
        </w:numPr>
        <w:spacing w:lineRule="auto"/>
      </w:pPr>
      <w:r>
        <w:rPr/>
        <w:t xml:space="preserve">Masse terrestre </w:t>
      </w:r>
      <m:oMath>
        <m:sSub>
          <m:sSubPr/>
          <m:e>
            <m:r>
              <m:rPr>
                <m:sty m:val="i"/>
              </m:rPr>
              <m:t>M</m:t>
            </m:r>
          </m:e>
          <m:sub>
            <m:r>
              <m:rPr>
                <m:sty m:val="i"/>
              </m:rPr>
              <m:t>T</m:t>
            </m:r>
          </m:sub>
        </m:sSub>
        <m:r>
          <m:rPr>
            <m:sty m:val="p"/>
          </m:rPr>
          <m:t>≈</m:t>
        </m:r>
        <m:r>
          <m:rPr>
            <m:sty m:val="p"/>
          </m:rPr>
          <m:t>6</m:t>
        </m:r>
        <m:r>
          <m:rPr>
            <m:sty m:val="p"/>
          </m:rPr>
          <m:t>×</m:t>
        </m:r>
        <m:sSup>
          <m:sSupPr/>
          <m:e>
            <m:r>
              <m:rPr>
                <m:sty m:val="p"/>
              </m:rPr>
              <m:t>10</m:t>
            </m:r>
          </m:e>
          <m:sup>
            <m:r>
              <m:rPr>
                <m:sty m:val="p"/>
              </m:rPr>
              <m:t>24</m:t>
            </m:r>
          </m:sup>
        </m:sSup>
        <m:r>
          <m:rPr>
            <m:nor/>
          </m:rPr>
          <m:t xml:space="preserve"> </m:t>
        </m:r>
        <m:r>
          <m:rPr>
            <m:sty m:val="p"/>
          </m:rPr>
          <m:t>kg</m:t>
        </m:r>
      </m:oMath>
    </w:p>
    <w:p>
      <w:pPr>
        <w:numPr>
          <w:ilvl w:val="0"/>
          <w:numId w:val="8"/>
        </w:numPr>
        <w:spacing w:lineRule="auto"/>
      </w:pPr>
      <w:r>
        <w:rPr>
          <w:rFonts w:eastAsia="Georgia" w:cs="Georgia" w:ascii="Georgia" w:hAnsi="Georgia"/>
        </w:rPr>
        <w:t xml:space="preserve">Période du mouvement circulaire autour du Soleil </w:t>
      </w:r>
      <m:oMath>
        <m:sSub>
          <m:sSubPr/>
          <m:e>
            <m:r>
              <m:rPr>
                <m:sty m:val="i"/>
              </m:rPr>
              <m:t>P</m:t>
            </m:r>
          </m:e>
          <m:sub>
            <m:r>
              <m:rPr>
                <m:sty m:val="i"/>
              </m:rPr>
              <m:t>S</m:t>
            </m:r>
            <m:r>
              <m:rPr>
                <m:sty m:val="i"/>
              </m:rPr>
              <m:t>T</m:t>
            </m:r>
          </m:sub>
        </m:sSub>
        <m:r>
          <m:rPr>
            <m:sty m:val="p"/>
          </m:rPr>
          <m:t>≈</m:t>
        </m:r>
        <m:r>
          <m:rPr>
            <m:sty m:val="p"/>
          </m:rPr>
          <m:t>365</m:t>
        </m:r>
        <m:r>
          <m:rPr>
            <m:sty m:val="p"/>
          </m:rPr>
          <m:t>,</m:t>
        </m:r>
        <m:r>
          <m:rPr>
            <m:sty m:val="p"/>
          </m:rPr>
          <m:t>25</m:t>
        </m:r>
      </m:oMath>
      <w:r>
        <w:rPr/>
        <w:t xml:space="preserve"> jours</w:t>
      </w:r>
    </w:p>
    <w:p>
      <w:pPr>
        <w:spacing w:line="271" w:before="330" w:lineRule="auto"/>
      </w:pPr>
      <w:r>
        <w:rPr>
          <w:b/>
          <w:sz w:val="42"/>
        </w:rPr>
        <w:t xml:space="preserve">Lune</w:t>
      </w:r>
    </w:p>
    <w:p>
      <w:pPr>
        <w:numPr>
          <w:ilvl w:val="0"/>
          <w:numId w:val="9"/>
        </w:numPr>
        <w:spacing w:lineRule="auto"/>
      </w:pPr>
      <w:r>
        <w:rPr/>
        <w:t xml:space="preserve">Rayon lunaire </w:t>
      </w:r>
      <m:oMath>
        <m:sSub>
          <m:sSubPr/>
          <m:e>
            <m:r>
              <m:rPr>
                <m:sty m:val="i"/>
              </m:rPr>
              <m:t>R</m:t>
            </m:r>
          </m:e>
          <m:sub>
            <m:r>
              <m:rPr>
                <m:sty m:val="p"/>
              </m:rPr>
              <m:t>L</m:t>
            </m:r>
          </m:sub>
        </m:sSub>
        <m:r>
          <m:rPr>
            <m:sty m:val="p"/>
          </m:rPr>
          <m:t>=</m:t>
        </m:r>
        <m:r>
          <m:rPr>
            <m:sty m:val="p"/>
          </m:rPr>
          <m:t>1740</m:t>
        </m:r>
        <m:r>
          <m:rPr>
            <m:nor/>
          </m:rPr>
          <m:t xml:space="preserve"> </m:t>
        </m:r>
        <m:r>
          <m:rPr>
            <m:sty m:val="p"/>
          </m:rPr>
          <m:t>km</m:t>
        </m:r>
      </m:oMath>
    </w:p>
    <w:p>
      <w:pPr>
        <w:numPr>
          <w:ilvl w:val="0"/>
          <w:numId w:val="9"/>
        </w:numPr>
        <w:spacing w:lineRule="auto"/>
      </w:pPr>
      <w:r>
        <w:rPr/>
        <w:t xml:space="preserve">Masse lunaire </w:t>
      </w:r>
      <m:oMath>
        <m:sSub>
          <m:sSubPr/>
          <m:e>
            <m:r>
              <m:rPr>
                <m:sty m:val="i"/>
              </m:rPr>
              <m:t>M</m:t>
            </m:r>
          </m:e>
          <m:sub>
            <m:r>
              <m:rPr>
                <m:sty m:val="p"/>
              </m:rPr>
              <m:t>L</m:t>
            </m:r>
          </m:sub>
        </m:sSub>
        <m:r>
          <m:rPr>
            <m:sty m:val="p"/>
          </m:rPr>
          <m:t>=</m:t>
        </m:r>
        <m:r>
          <m:rPr>
            <m:sty m:val="p"/>
          </m:rPr>
          <m:t>7</m:t>
        </m:r>
        <m:r>
          <m:rPr>
            <m:sty m:val="p"/>
          </m:rPr>
          <m:t>,</m:t>
        </m:r>
        <m:r>
          <m:rPr>
            <m:sty m:val="p"/>
          </m:rPr>
          <m:t>4</m:t>
        </m:r>
        <m:r>
          <m:rPr>
            <m:sty m:val="p"/>
          </m:rPr>
          <m:t>×</m:t>
        </m:r>
        <m:sSup>
          <m:sSupPr/>
          <m:e>
            <m:r>
              <m:rPr>
                <m:sty m:val="p"/>
              </m:rPr>
              <m:t>10</m:t>
            </m:r>
          </m:e>
          <m:sup>
            <m:r>
              <m:rPr>
                <m:sty m:val="p"/>
              </m:rPr>
              <m:t>22</m:t>
            </m:r>
          </m:sup>
        </m:sSup>
        <m:r>
          <m:rPr>
            <m:nor/>
          </m:rPr>
          <m:t xml:space="preserve"> </m:t>
        </m:r>
        <m:r>
          <m:rPr>
            <m:sty m:val="p"/>
          </m:rPr>
          <m:t>kg</m:t>
        </m:r>
      </m:oMath>
    </w:p>
    <w:p>
      <w:pPr>
        <w:numPr>
          <w:ilvl w:val="0"/>
          <w:numId w:val="9"/>
        </w:numPr>
        <w:spacing w:lineRule="auto"/>
      </w:pPr>
      <w:r>
        <w:rPr/>
        <w:t xml:space="preserve">Distance Terre-Lune </w:t>
      </w:r>
      <m:oMath>
        <m:sSub>
          <m:sSubPr/>
          <m:e>
            <m:r>
              <m:rPr>
                <m:sty m:val="i"/>
              </m:rPr>
              <m:t>D</m:t>
            </m:r>
          </m:e>
          <m:sub>
            <m:r>
              <m:rPr>
                <m:sty m:val="i"/>
              </m:rPr>
              <m:t>L</m:t>
            </m:r>
            <m:r>
              <m:rPr>
                <m:sty m:val="i"/>
              </m:rPr>
              <m:t>T</m:t>
            </m:r>
          </m:sub>
        </m:sSub>
        <m:r>
          <m:rPr>
            <m:sty m:val="p"/>
          </m:rPr>
          <m:t>≈</m:t>
        </m:r>
        <m:r>
          <m:rPr>
            <m:sty m:val="p"/>
          </m:rPr>
          <m:t>3</m:t>
        </m:r>
        <m:r>
          <m:rPr>
            <m:sty m:val="p"/>
          </m:rPr>
          <m:t>,</m:t>
        </m:r>
        <m:r>
          <m:rPr>
            <m:sty m:val="p"/>
          </m:rPr>
          <m:t>84</m:t>
        </m:r>
        <m:r>
          <m:rPr>
            <m:sty m:val="p"/>
          </m:rPr>
          <m:t>×</m:t>
        </m:r>
        <m:sSup>
          <m:sSupPr/>
          <m:e>
            <m:r>
              <m:rPr>
                <m:sty m:val="p"/>
              </m:rPr>
              <m:t>10</m:t>
            </m:r>
          </m:e>
          <m:sup>
            <m:r>
              <m:rPr>
                <m:sty m:val="p"/>
              </m:rPr>
              <m:t>5</m:t>
            </m:r>
          </m:sup>
        </m:sSup>
        <m:r>
          <m:rPr>
            <m:nor/>
          </m:rPr>
          <m:t xml:space="preserve"> </m:t>
        </m:r>
        <m:r>
          <m:rPr>
            <m:sty m:val="p"/>
          </m:rPr>
          <m:t>km</m:t>
        </m:r>
      </m:oMath>
    </w:p>
    <w:p>
      <w:pPr>
        <w:numPr>
          <w:ilvl w:val="0"/>
          <w:numId w:val="9"/>
        </w:numPr>
        <w:spacing w:lineRule="auto"/>
      </w:pPr>
      <w:r>
        <w:rPr>
          <w:rFonts w:eastAsia="Georgia" w:cs="Georgia" w:ascii="Georgia" w:hAnsi="Georgia"/>
        </w:rPr>
        <w:t xml:space="preserve">Période du mouvement circulaire autour de la Terre </w:t>
      </w:r>
      <m:oMath>
        <m:sSub>
          <m:sSubPr/>
          <m:e>
            <m:r>
              <m:rPr>
                <m:sty m:val="i"/>
              </m:rPr>
              <m:t>P</m:t>
            </m:r>
          </m:e>
          <m:sub>
            <m:r>
              <m:rPr>
                <m:sty m:val="i"/>
              </m:rPr>
              <m:t>T</m:t>
            </m:r>
            <m:r>
              <m:rPr>
                <m:sty m:val="i"/>
              </m:rPr>
              <m:t>L</m:t>
            </m:r>
          </m:sub>
        </m:sSub>
        <m:r>
          <m:rPr>
            <m:sty m:val="p"/>
          </m:rPr>
          <m:t>≈</m:t>
        </m:r>
        <m:r>
          <m:rPr>
            <m:sty m:val="p"/>
          </m:rPr>
          <m:t>27</m:t>
        </m:r>
        <m:r>
          <m:rPr>
            <m:sty m:val="p"/>
          </m:rPr>
          <m:t>,</m:t>
        </m:r>
        <m:r>
          <m:rPr>
            <m:sty m:val="p"/>
          </m:rPr>
          <m:t>25</m:t>
        </m:r>
      </m:oMath>
      <w:r>
        <w:rPr/>
        <w:t xml:space="preserve"> jours (en restant dans le plan de l'orbite terrestre)</w:t>
      </w:r>
    </w:p>
    <w:p>
      <w:pPr>
        <w:numPr>
          <w:ilvl w:val="0"/>
          <w:numId w:val="9"/>
        </w:numPr>
        <w:spacing w:lineRule="auto"/>
      </w:pPr>
      <w:r>
        <w:rPr>
          <w:rFonts w:eastAsia="Georgia" w:cs="Georgia" w:ascii="Georgia" w:hAnsi="Georgia"/>
        </w:rPr>
        <w:t xml:space="preserve">Période de rotation propre de la Lune </w:t>
      </w:r>
      <m:oMath>
        <m:sSub>
          <m:sSubPr/>
          <m:e>
            <m:r>
              <m:rPr>
                <m:sty m:val="i"/>
              </m:rPr>
              <m:t>P</m:t>
            </m:r>
          </m:e>
          <m:sub>
            <m:r>
              <m:rPr>
                <m:sty m:val="i"/>
              </m:rPr>
              <m:t>L</m:t>
            </m:r>
          </m:sub>
        </m:sSub>
        <m:r>
          <m:rPr>
            <m:sty m:val="p"/>
          </m:rPr>
          <m:t>=</m:t>
        </m:r>
        <m:sSub>
          <m:sSubPr/>
          <m:e>
            <m:r>
              <m:rPr>
                <m:sty m:val="i"/>
              </m:rPr>
              <m:t>P</m:t>
            </m:r>
          </m:e>
          <m:sub>
            <m:r>
              <m:rPr>
                <m:sty m:val="i"/>
              </m:rPr>
              <m:t>T</m:t>
            </m:r>
            <m:r>
              <m:rPr>
                <m:sty m:val="i"/>
              </m:rPr>
              <m:t>L</m:t>
            </m:r>
          </m:sub>
        </m:sSub>
        <m:r>
          <m:rPr>
            <m:sty m:val="p"/>
          </m:rPr>
          <m:t>≈</m:t>
        </m:r>
        <m:r>
          <m:rPr>
            <m:sty m:val="p"/>
          </m:rPr>
          <m:t>27</m:t>
        </m:r>
        <m:r>
          <m:rPr>
            <m:sty m:val="p"/>
          </m:rPr>
          <m:t>,</m:t>
        </m:r>
        <m:r>
          <m:rPr>
            <m:sty m:val="p"/>
          </m:rPr>
          <m:t>25</m:t>
        </m:r>
      </m:oMath>
      <w:r>
        <w:rPr>
          <w:rFonts w:eastAsia="Georgia" w:cs="Georgia" w:ascii="Georgia" w:hAnsi="Georgia"/>
        </w:rPr>
        <w:t xml:space="preserve"> jours . La Lune présente ainsi toujours la même face à la Terre.</w:t>
      </w:r>
    </w:p>
    <w:p>
      <w:pPr>
        <w:spacing w:line="271" w:before="330" w:lineRule="auto"/>
      </w:pPr>
      <w:r>
        <w:rPr>
          <w:b/>
          <w:sz w:val="42"/>
        </w:rPr>
        <w:t xml:space="preserve">Silicates</w:t>
      </w:r>
    </w:p>
    <w:p>
      <w:pPr>
        <w:numPr>
          <w:ilvl w:val="0"/>
          <w:numId w:val="10"/>
        </w:numPr>
        <w:spacing w:lineRule="auto"/>
      </w:pPr>
      <w:r>
        <w:rPr>
          <w:rFonts w:eastAsia="Georgia" w:cs="Georgia" w:ascii="Georgia" w:hAnsi="Georgia"/>
        </w:rPr>
        <w:t xml:space="preserve">Densité </w:t>
      </w:r>
      <m:oMath>
        <m:sSub>
          <m:sSubPr/>
          <m:e>
            <m:r>
              <m:rPr>
                <m:sty m:val="i"/>
              </m:rPr>
              <m:t>d</m:t>
            </m:r>
          </m:e>
          <m:sub>
            <m:r>
              <m:rPr>
                <m:nor/>
              </m:rPr>
              <m:t>Sil </m:t>
            </m:r>
          </m:sub>
        </m:sSub>
        <m:r>
          <m:rPr>
            <m:sty m:val="p"/>
          </m:rPr>
          <m:t>≈</m:t>
        </m:r>
        <m:r>
          <m:rPr>
            <m:sty m:val="p"/>
          </m:rPr>
          <m:t>2</m:t>
        </m:r>
        <m:r>
          <m:rPr>
            <m:sty m:val="p"/>
          </m:rPr>
          <m:t>,</m:t>
        </m:r>
        <m:r>
          <m:rPr>
            <m:sty m:val="p"/>
          </m:rPr>
          <m:t>51</m:t>
        </m:r>
      </m:oMath>
    </w:p>
    <w:p>
      <w:pPr>
        <w:numPr>
          <w:ilvl w:val="0"/>
          <w:numId w:val="10"/>
        </w:numPr>
        <w:spacing w:lineRule="auto"/>
      </w:pPr>
      <w:r>
        <w:rPr>
          <w:rFonts w:eastAsia="Georgia" w:cs="Georgia" w:ascii="Georgia" w:hAnsi="Georgia"/>
        </w:rPr>
        <w:t xml:space="preserve">Conductivité thermique </w:t>
      </w:r>
      <m:oMath>
        <m:sSub>
          <m:sSubPr/>
          <m:e>
            <m:r>
              <m:rPr>
                <m:sty m:val="i"/>
              </m:rPr>
              <m:t>K</m:t>
            </m:r>
          </m:e>
          <m:sub>
            <m:r>
              <m:rPr>
                <m:sty m:val="p"/>
              </m:rPr>
              <m:t>Sil</m:t>
            </m:r>
          </m:sub>
        </m:sSub>
        <m:r>
          <m:rPr>
            <m:sty m:val="p"/>
          </m:rPr>
          <m:t>≈</m:t>
        </m:r>
        <m:r>
          <m:rPr>
            <m:sty m:val="p"/>
          </m:rPr>
          <m:t>1</m:t>
        </m:r>
        <m:r>
          <m:rPr>
            <m:sty m:val="p"/>
          </m:rPr>
          <m:t>,</m:t>
        </m:r>
        <m:r>
          <m:rPr>
            <m:sty m:val="p"/>
          </m:rPr>
          <m:t>11</m:t>
        </m:r>
        <m:r>
          <m:rPr>
            <m:nor/>
          </m:rPr>
          <m:t xml:space="preserve"> </m:t>
        </m:r>
        <m:r>
          <m:rPr>
            <m:sty m:val="p"/>
          </m:rPr>
          <m:t>W</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w:p>
    <w:p>
      <w:pPr>
        <w:numPr>
          <w:ilvl w:val="0"/>
          <w:numId w:val="10"/>
        </w:numPr>
        <w:spacing w:lineRule="auto"/>
      </w:pPr>
      <w:r>
        <w:rPr>
          <w:rFonts w:eastAsia="Georgia" w:cs="Georgia" w:ascii="Georgia" w:hAnsi="Georgia"/>
        </w:rPr>
        <w:t xml:space="preserve">Chaleur spécifique </w:t>
      </w:r>
      <m:oMath>
        <m:sSub>
          <m:sSubPr/>
          <m:e>
            <m:r>
              <m:rPr>
                <m:sty m:val="i"/>
              </m:rPr>
              <m:t>c</m:t>
            </m:r>
          </m:e>
          <m:sub>
            <m:r>
              <m:rPr>
                <m:sty m:val="i"/>
              </m:rPr>
              <m:t>S</m:t>
            </m:r>
            <m:r>
              <m:rPr>
                <m:sty m:val="i"/>
              </m:rPr>
              <m:t>i</m:t>
            </m:r>
            <m:r>
              <m:rPr>
                <m:sty m:val="i"/>
              </m:rPr>
              <m:t>l</m:t>
            </m:r>
          </m:sub>
        </m:sSub>
        <m:r>
          <m:rPr>
            <m:sty m:val="p"/>
          </m:rPr>
          <m:t>≈</m:t>
        </m:r>
        <m:r>
          <m:rPr>
            <m:sty m:val="p"/>
          </m:rPr>
          <m:t>860</m:t>
        </m:r>
        <m:r>
          <m:rPr>
            <m:nor/>
          </m:rPr>
          <m:t xml:space="preserve"> </m:t>
        </m:r>
        <m:r>
          <m:rPr>
            <m:sty m:val="p"/>
          </m:rPr>
          <m:t>J</m:t>
        </m:r>
        <m:r>
          <m:rPr>
            <m:sty m:val="p"/>
          </m:rPr>
          <m:t>.</m:t>
        </m:r>
        <m:sSup>
          <m:sSupPr/>
          <m:e>
            <m:r>
              <m:rPr>
                <m:sty m:val="p"/>
              </m:rPr>
              <m:t>kg</m:t>
            </m:r>
          </m:e>
          <m:sup>
            <m:r>
              <m:rPr>
                <m:sty m:val="p"/>
              </m:rPr>
              <m:t>−</m:t>
            </m:r>
            <m:r>
              <m:rPr>
                <m:sty m:val="p"/>
              </m:rPr>
              <m:t>1</m:t>
            </m:r>
          </m:sup>
        </m:sSup>
        <m:sSup>
          <m:sSupPr/>
          <m:e>
            <m:r>
              <m:rPr>
                <m:nor/>
              </m:rPr>
              <m:t xml:space="preserve"> </m:t>
            </m:r>
            <m:r>
              <m:rPr>
                <m:sty m:val="p"/>
              </m:rPr>
              <m:t>K</m:t>
            </m:r>
          </m:e>
          <m:sup>
            <m:r>
              <m:rPr>
                <m:sty m:val="p"/>
              </m:rPr>
              <m:t>−</m:t>
            </m:r>
            <m:r>
              <m:rPr>
                <m:sty m:val="p"/>
              </m:rPr>
              <m:t>1</m:t>
            </m:r>
          </m:sup>
        </m:sSup>
      </m:oMath>
    </w:p>
    <w:p>
      <w:pPr>
        <w:numPr>
          <w:ilvl w:val="0"/>
          <w:numId w:val="10"/>
        </w:numPr>
        <w:spacing w:lineRule="auto"/>
      </w:pPr>
      <w:r>
        <w:rPr/>
        <w:t xml:space="preserve">Ordre de grandeur du rayon </w:t>
      </w:r>
      <m:oMath>
        <m:sSub>
          <m:sSubPr/>
          <m:e>
            <m:r>
              <m:rPr>
                <m:sty m:val="i"/>
              </m:rPr>
              <m:t>R</m:t>
            </m:r>
          </m:e>
          <m:sub>
            <m:r>
              <m:rPr>
                <m:nor/>
              </m:rPr>
              <m:t>Sil </m:t>
            </m:r>
          </m:sub>
        </m:sSub>
        <m:r>
          <m:rPr>
            <m:sty m:val="p"/>
          </m:rPr>
          <m:t>≈</m:t>
        </m:r>
        <m:r>
          <m:rPr>
            <m:sty m:val="p"/>
          </m:rPr>
          <m:t>100</m:t>
        </m:r>
        <m:r>
          <m:rPr>
            <m:sty m:val="i"/>
          </m:rPr>
          <m:t>μ</m:t>
        </m:r>
        <m:r>
          <m:rPr>
            <m:nor/>
          </m:rPr>
          <m:t xml:space="preserve"> </m:t>
        </m:r>
        <m:r>
          <m:rPr>
            <m:sty m:val="p"/>
          </m:rPr>
          <m:t>m</m:t>
        </m:r>
      </m:oMath>
    </w:p>
    <w:p>
      <w:pPr>
        <w:numPr>
          <w:ilvl w:val="0"/>
          <w:numId w:val="10"/>
        </w:numPr>
        <w:spacing w:lineRule="auto"/>
      </w:pPr>
      <w:r>
        <w:rPr>
          <w:rFonts w:eastAsia="Georgia" w:cs="Georgia" w:ascii="Georgia" w:hAnsi="Georgia"/>
        </w:rPr>
        <w:t xml:space="preserve">Température de fusion du silicate </w:t>
      </w:r>
      <m:oMath>
        <m:sSub>
          <m:sSubPr/>
          <m:e>
            <m:r>
              <m:rPr>
                <m:sty m:val="i"/>
              </m:rPr>
              <m:t>T</m:t>
            </m:r>
          </m:e>
          <m:sub>
            <m:r>
              <m:rPr>
                <m:sty m:val="i"/>
              </m:rPr>
              <m:t>f</m:t>
            </m:r>
          </m:sub>
        </m:sSub>
        <m:r>
          <m:rPr>
            <m:sty m:val="p"/>
          </m:rPr>
          <m:t>≈</m:t>
        </m:r>
        <m:r>
          <m:rPr>
            <m:sty m:val="p"/>
          </m:rPr>
          <m:t>1500</m:t>
        </m:r>
        <m:r>
          <m:rPr>
            <m:nor/>
          </m:rPr>
          <m:t xml:space="preserve"> </m:t>
        </m:r>
        <m:r>
          <m:rPr>
            <m:sty m:val="p"/>
          </m:rPr>
          <m:t>K</m:t>
        </m:r>
      </m:oMath>
    </w:p>
    <w:p>
      <w:pPr>
        <w:numPr>
          <w:ilvl w:val="0"/>
          <w:numId w:val="10"/>
        </w:numPr>
        <w:spacing w:lineRule="auto"/>
      </w:pPr>
      <w:r>
        <w:rPr/>
        <w:t xml:space="preserve">Chaleur latente de fusion </w:t>
      </w:r>
      <m:oMath>
        <m:sSub>
          <m:sSubPr/>
          <m:e>
            <m:r>
              <m:rPr>
                <m:sty m:val="i"/>
              </m:rPr>
              <m:t>L</m:t>
            </m:r>
          </m:e>
          <m:sub>
            <m:r>
              <m:rPr>
                <m:sty m:val="i"/>
              </m:rPr>
              <m:t>f</m:t>
            </m:r>
          </m:sub>
        </m:sSub>
        <m:r>
          <m:rPr>
            <m:sty m:val="p"/>
          </m:rPr>
          <m:t>≈</m:t>
        </m:r>
        <m:r>
          <m:rPr>
            <m:sty m:val="p"/>
          </m:rPr>
          <m:t>130</m:t>
        </m:r>
        <m:r>
          <m:rPr>
            <m:nor/>
          </m:rPr>
          <m:t xml:space="preserve"> </m:t>
        </m:r>
        <m:r>
          <m:rPr>
            <m:sty m:val="p"/>
          </m:rPr>
          <m:t>kJ</m:t>
        </m:r>
        <m:r>
          <m:rPr>
            <m:sty m:val="p"/>
          </m:rPr>
          <m:t>.</m:t>
        </m:r>
        <m:sSup>
          <m:sSupPr/>
          <m:e>
            <m:r>
              <m:rPr>
                <m:sty m:val="p"/>
              </m:rPr>
              <m:t>kg</m:t>
            </m:r>
          </m:e>
          <m:sup>
            <m:r>
              <m:rPr>
                <m:sty m:val="p"/>
              </m:rPr>
              <m:t>−</m:t>
            </m:r>
            <m:r>
              <m:rPr>
                <m:sty m:val="p"/>
              </m:rPr>
              <m:t>1</m:t>
            </m:r>
          </m:sup>
        </m:sSup>
      </m:oMath>
    </w:p>
    <w:p>
      <w:pPr>
        <w:spacing w:line="271" w:before="330" w:lineRule="auto"/>
      </w:pPr>
      <w:r>
        <w:rPr>
          <w:b/>
          <w:sz w:val="42"/>
        </w:rPr>
        <w:t xml:space="preserve">Constantes physiques</w:t>
      </w:r>
    </w:p>
    <w:p>
      <w:pPr>
        <w:numPr>
          <w:ilvl w:val="0"/>
          <w:numId w:val="11"/>
        </w:numPr>
        <w:spacing w:lineRule="auto"/>
      </w:pPr>
      <w:r>
        <w:rPr>
          <w:rFonts w:eastAsia="Georgia" w:cs="Georgia" w:ascii="Georgia" w:hAnsi="Georgia"/>
        </w:rPr>
        <w:t xml:space="preserve">Célérité de la lumière dans le vide </w:t>
      </w:r>
      <m:oMath>
        <m:r>
          <m:rPr>
            <m:sty m:val="i"/>
          </m:rPr>
          <m:t>c</m:t>
        </m:r>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p>
    <w:p>
      <w:pPr>
        <w:numPr>
          <w:ilvl w:val="0"/>
          <w:numId w:val="11"/>
        </w:numPr>
        <w:spacing w:lineRule="auto"/>
      </w:pPr>
      <w:r>
        <w:rPr/>
        <w:t xml:space="preserve">Constante de la gravitation </w:t>
      </w:r>
      <m:oMath>
        <m:r>
          <m:rPr>
            <m:sty m:val="i"/>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oMath>
    </w:p>
    <w:p>
      <w:pPr>
        <w:numPr>
          <w:ilvl w:val="0"/>
          <w:numId w:val="11"/>
        </w:numPr>
        <w:spacing w:lineRule="auto"/>
      </w:pPr>
      <w:r>
        <w:rPr/>
        <w:t xml:space="preserve">Constante de Planck </w:t>
      </w:r>
      <m:oMath>
        <m:r>
          <m:rPr>
            <m:sty m:val="i"/>
          </m:rPr>
          <m:t>h</m:t>
        </m:r>
        <m:r>
          <m:rPr>
            <m:sty m:val="p"/>
          </m:rPr>
          <m:t>≈</m:t>
        </m:r>
        <m:r>
          <m:rPr>
            <m:sty m:val="p"/>
          </m:rPr>
          <m:t>6</m:t>
        </m:r>
        <m:r>
          <m:rPr>
            <m:sty m:val="p"/>
          </m:rPr>
          <m:t>,</m:t>
        </m:r>
        <m:r>
          <m:rPr>
            <m:sty m:val="p"/>
          </m:rPr>
          <m:t>63</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sty m:val="p"/>
          </m:rPr>
          <m:t>s</m:t>
        </m:r>
        <m:r>
          <m:rPr>
            <m:sty m:val="p"/>
          </m:rPr>
          <m:t xml:space="preserve"> </m:t>
        </m:r>
        <m:r>
          <m:rPr>
            <m:sty m:val="i"/>
          </m:rPr>
          <m:t>ℏ</m:t>
        </m:r>
        <m:r>
          <m:rPr>
            <m:sty m:val="p"/>
          </m:rPr>
          <m:t>=</m:t>
        </m:r>
        <m:f>
          <m:fPr>
            <m:ctrlPr>
              <w:rPr>
                <w:rFonts w:ascii="Cambria Math" w:hAnsi="Cambria Math"/>
              </w:rPr>
            </m:ctrlPr>
          </m:fPr>
          <m:num>
            <m:r>
              <m:rPr>
                <m:sty m:val="i"/>
              </m:rPr>
              <m:t>h</m:t>
            </m:r>
          </m:num>
          <m:den>
            <m:r>
              <m:rPr>
                <m:sty m:val="p"/>
              </m:rPr>
              <m:t>2</m:t>
            </m:r>
            <m:r>
              <m:rPr>
                <m:sty m:val="i"/>
              </m:rPr>
              <m:t>π</m:t>
            </m:r>
          </m:den>
        </m:f>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sty m:val="p"/>
          </m:rPr>
          <m:t>s</m:t>
        </m:r>
      </m:oMath>
    </w:p>
    <w:p>
      <w:pPr>
        <w:numPr>
          <w:ilvl w:val="0"/>
          <w:numId w:val="11"/>
        </w:numPr>
        <w:spacing w:lineRule="auto"/>
      </w:pPr>
      <w:r>
        <w:rPr/>
        <w:t xml:space="preserve">Constante de Boltzmann </w:t>
      </w: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sty m:val="p"/>
              </m:rPr>
              <m:t>K</m:t>
            </m:r>
          </m:e>
          <m:sup>
            <m:r>
              <m:rPr>
                <m:sty m:val="p"/>
              </m:rPr>
              <m:t>−</m:t>
            </m:r>
            <m:r>
              <m:rPr>
                <m:sty m:val="p"/>
              </m:rPr>
              <m:t>1</m:t>
            </m:r>
          </m:sup>
        </m:sSup>
      </m:oMath>
    </w:p>
    <w:p>
      <w:pPr>
        <w:numPr>
          <w:ilvl w:val="0"/>
          <w:numId w:val="11"/>
        </w:numPr>
        <w:spacing w:lineRule="auto"/>
      </w:pPr>
      <w:r>
        <w:rPr/>
        <w:t xml:space="preserve">Nombre d'Avogadro </w:t>
      </w:r>
      <m:oMath>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oMath>
    </w:p>
    <w:p>
      <w:pPr>
        <w:numPr>
          <w:ilvl w:val="0"/>
          <w:numId w:val="11"/>
        </w:numPr>
        <w:spacing w:lineRule="auto"/>
      </w:pPr>
      <w:r>
        <w:rPr>
          <w:rFonts w:eastAsia="Georgia" w:cs="Georgia" w:ascii="Georgia" w:hAnsi="Georgia"/>
        </w:rPr>
        <w:t xml:space="preserve">Permittivité du vide </w:t>
      </w: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oMath>
      <w:r>
        <w:rPr/>
        <w:t xml:space="preserve"> F. </w:t>
      </w:r>
      <m:oMath>
        <m:sSup>
          <m:sSupPr/>
          <m:e>
            <m:r>
              <m:rPr>
                <m:sty m:val="p"/>
              </m:rPr>
              <m:t>m</m:t>
            </m:r>
          </m:e>
          <m:sup>
            <m:r>
              <m:rPr>
                <m:sty m:val="p"/>
              </m:rPr>
              <m:t>−</m:t>
            </m:r>
            <m:r>
              <m:rPr>
                <m:sty m:val="p"/>
              </m:rPr>
              <m:t>1</m:t>
            </m:r>
          </m:sup>
        </m:sSup>
      </m:oMath>
    </w:p>
    <w:p>
      <w:pPr>
        <w:numPr>
          <w:ilvl w:val="0"/>
          <w:numId w:val="11"/>
        </w:numPr>
        <w:spacing w:lineRule="auto"/>
      </w:pPr>
      <w:r>
        <w:rPr/>
        <w:t xml:space="preserve">Constante des gaz parfaits </w:t>
      </w:r>
      <m:oMath>
        <m:r>
          <m:rPr>
            <m:sty m:val="i"/>
          </m:rPr>
          <m:t>R</m:t>
        </m:r>
        <m:r>
          <m:rPr>
            <m:sty m:val="p"/>
          </m:rPr>
          <m:t>=</m:t>
        </m:r>
        <m:sSub>
          <m:sSubPr/>
          <m:e>
            <m:r>
              <m:rPr>
                <m:sty m:val="i"/>
              </m:rPr>
              <m:t>N</m:t>
            </m:r>
          </m:e>
          <m:sub>
            <m:r>
              <m:rPr>
                <m:sty m:val="i"/>
              </m:rPr>
              <m:t>A</m:t>
            </m:r>
          </m:sub>
        </m:sSub>
        <m:sSub>
          <m:sSubPr/>
          <m:e>
            <m:r>
              <m:rPr>
                <m:sty m:val="i"/>
              </m:rPr>
              <m:t>k</m:t>
            </m:r>
          </m:e>
          <m:sub>
            <m:r>
              <m:rPr>
                <m:sty m:val="i"/>
              </m:rPr>
              <m:t>B</m:t>
            </m:r>
          </m:sub>
        </m:sSub>
        <m:r>
          <m:rPr>
            <m:sty m:val="p"/>
          </m:rPr>
          <m:t>≈</m:t>
        </m:r>
        <m:r>
          <m:rPr>
            <m:sty m:val="p"/>
          </m:rPr>
          <m:t>8</m:t>
        </m:r>
        <m:r>
          <m:rPr>
            <m:sty m:val="p"/>
          </m:rPr>
          <m:t>,</m:t>
        </m:r>
        <m:r>
          <m:rPr>
            <m:sty m:val="p"/>
          </m:rPr>
          <m:t>31</m:t>
        </m:r>
        <m:r>
          <m:rPr>
            <m:nor/>
          </m:rPr>
          <m:t xml:space="preserve"> </m:t>
        </m:r>
        <m:r>
          <m:rPr>
            <m:sty m:val="p"/>
          </m:rPr>
          <m:t>J</m:t>
        </m:r>
        <m:r>
          <m:rPr>
            <m:sty m:val="p"/>
          </m:rPr>
          <m:t>.</m:t>
        </m:r>
        <m:sSup>
          <m:sSupPr/>
          <m:e>
            <m:r>
              <m:rPr>
                <m:sty m:val="p"/>
              </m:rPr>
              <m:t>mol</m:t>
            </m:r>
          </m:e>
          <m:sup>
            <m:r>
              <m:rPr>
                <m:sty m:val="p"/>
              </m:rPr>
              <m:t>−</m:t>
            </m:r>
            <m:r>
              <m:rPr>
                <m:sty m:val="p"/>
              </m:rPr>
              <m:t>1</m:t>
            </m:r>
          </m:sup>
        </m:sSup>
        <m:r>
          <m:rPr>
            <m:sty m:val="p"/>
          </m:rPr>
          <m:t>.</m:t>
        </m:r>
        <m:sSup>
          <m:sSupPr/>
          <m:e>
            <m:r>
              <m:rPr>
                <m:sty m:val="p"/>
              </m:rPr>
              <m:t>K</m:t>
            </m:r>
          </m:e>
          <m:sup>
            <m:r>
              <m:rPr>
                <m:sty m:val="p"/>
              </m:rPr>
              <m:t>−</m:t>
            </m:r>
            <m:r>
              <m:rPr>
                <m:sty m:val="p"/>
              </m:rPr>
              <m:t>1</m:t>
            </m:r>
          </m:sup>
        </m:sSup>
      </m:oMath>
    </w:p>
    <w:p>
      <w:pPr>
        <w:spacing w:line="271" w:before="330" w:lineRule="auto"/>
      </w:pPr>
      <w:r>
        <w:rPr>
          <w:rFonts w:eastAsia="Georgia" w:cs="Georgia" w:ascii="Georgia" w:hAnsi="Georgia"/>
          <w:b/>
          <w:sz w:val="42"/>
        </w:rPr>
        <w:t xml:space="preserve">Formules mathématiques</w:t>
      </w:r>
    </w:p>
    <w:p>
      <w:pPr>
        <w:spacing w:after="220" w:lineRule="auto"/>
      </w:pPr>
      <m:oMathPara>
        <m:oMathParaPr>
          <m:jc m:val="left"/>
        </m:oMathParaPr>
        <m:oMath>
          <m:r>
            <m:rPr>
              <m:sty m:val="p"/>
            </m:rPr>
            <m:t>div</m:t>
          </m:r>
          <m:r>
            <m:rPr>
              <m:sty m:val="p"/>
            </m:rPr>
            <m:t>[</m:t>
          </m:r>
          <m:r>
            <m:rPr>
              <m:sty m:val="p"/>
            </m:rPr>
            <m:t>grad</m:t>
          </m:r>
          <m:r>
            <m:rPr>
              <m:sty m:val="p"/>
            </m:rPr>
            <m:t>(</m:t>
          </m:r>
          <m:r>
            <m:rPr>
              <m:sty m:val="i"/>
            </m:rPr>
            <m:t>f</m:t>
          </m:r>
          <m:r>
            <m:rPr>
              <m:sty m:val="p"/>
            </m:rPr>
            <m:t>)</m:t>
          </m:r>
          <m:r>
            <m:rPr>
              <m:sty m:val="p"/>
            </m:rPr>
            <m:t>]</m:t>
          </m:r>
          <m:r>
            <m:rPr>
              <m:sty m:val="p"/>
            </m:rPr>
            <m:t>=</m:t>
          </m:r>
          <m:r>
            <m:rPr>
              <m:sty m:val="p"/>
            </m:rPr>
            <m:t>Δ</m:t>
          </m:r>
          <m:r>
            <m:rPr>
              <m:sty m:val="i"/>
            </m:rPr>
            <m:t>f</m:t>
          </m:r>
        </m:oMath>
      </m:oMathPara>
      <w:r>
        <w:rPr/>
        <w:br w:type="textWrapping"/>
      </w:r>
      <w:r>
        <w:rPr>
          <w:rFonts w:eastAsia="Georgia" w:cs="Georgia" w:ascii="Georgia" w:hAnsi="Georgia"/>
        </w:rPr>
        <w:t xml:space="preserve">En symétrie sphérique et pour un champ radial </w:t>
      </w:r>
      <m:oMath>
        <m:r>
          <m:rPr>
            <m:sty m:val="p"/>
          </m:rPr>
          <m:t>div</m:t>
        </m:r>
        <m:r>
          <m:rPr>
            <m:sty m:val="p"/>
          </m:rPr>
          <m:t>(</m:t>
        </m:r>
        <m:r>
          <m:rPr>
            <m:sty m:val="b"/>
          </m:rPr>
          <m:t>v</m:t>
        </m:r>
        <m:r>
          <m:rPr>
            <m:sty m:val="p"/>
          </m:rPr>
          <m:t>)</m:t>
        </m:r>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r>
              <m:rPr>
                <m:nor/>
              </m:rPr>
              <m:t xml:space="preserve"> </m:t>
            </m:r>
            <m:r>
              <m:rPr>
                <m:sty m:val="p"/>
              </m:rPr>
              <m:t>d</m:t>
            </m:r>
          </m:num>
          <m:den>
            <m:r>
              <m:rPr>
                <m:nor/>
              </m:rPr>
              <m:t xml:space="preserve"> </m:t>
            </m:r>
            <m:r>
              <m:rPr>
                <m:sty m:val="p"/>
              </m:rPr>
              <m:t>d</m:t>
            </m:r>
            <m:r>
              <m:rPr>
                <m:sty m:val="i"/>
              </m:rPr>
              <m:t>r</m:t>
            </m:r>
          </m:den>
        </m:f>
        <m:d>
          <m:dPr>
            <m:begChr m:val="("/>
            <m:endChr m:val=")"/>
            <m:ctrlPr>
              <w:rPr>
                <w:rFonts w:ascii="Cambria Math" w:hAnsi="Cambria Math"/>
              </w:rPr>
            </m:ctrlPr>
          </m:dPr>
          <m:e>
            <m:sSup>
              <m:sSupPr/>
              <m:e>
                <m:r>
                  <m:rPr>
                    <m:sty m:val="i"/>
                  </m:rPr>
                  <m:t>r</m:t>
                </m:r>
              </m:e>
              <m:sup>
                <m:r>
                  <m:rPr>
                    <m:sty m:val="p"/>
                  </m:rPr>
                  <m:t>2</m:t>
                </m:r>
              </m:sup>
            </m:sSup>
            <m:sSub>
              <m:sSubPr/>
              <m:e>
                <m:r>
                  <m:rPr>
                    <m:sty m:val="i"/>
                  </m:rPr>
                  <m:t>V</m:t>
                </m:r>
              </m:e>
              <m:sub>
                <m:r>
                  <m:rPr>
                    <m:sty m:val="i"/>
                  </m:rPr>
                  <m:t>r</m:t>
                </m:r>
              </m:sub>
            </m:sSub>
          </m:e>
        </m:d>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935108a219d079f668b009385521a091e239008.jpg" TargetMode="Internal"/><Relationship Id="rId6" Type="http://schemas.openxmlformats.org/officeDocument/2006/relationships/image" Target="media/image-3c7d3cc086dbfcb87cd5ee2d6036d8e8951e7fb2.jpg" TargetMode="Internal"/><Relationship Id="rId7" Type="http://schemas.openxmlformats.org/officeDocument/2006/relationships/image" Target="media/image-2eda833f4c5267f93e20072909b1bb6ffb102a00.jpg" TargetMode="Internal"/><Relationship Id="rId8" Type="http://schemas.openxmlformats.org/officeDocument/2006/relationships/image" Target="media/image-f53039554fe6200c46b530ba028647014095b1c7.jpg" TargetMode="Internal"/><Relationship Id="rId9" Type="http://schemas.openxmlformats.org/officeDocument/2006/relationships/image" Target="media/image-551fd99fbf7568f857a09ce46467dafd00158e9e.jpg" TargetMode="Internal"/><Relationship Id="rId10" Type="http://schemas.openxmlformats.org/officeDocument/2006/relationships/image" Target="media/image-9d5b3b100f6de1b179559926f2b80380231e11a5.jpg" TargetMode="Internal"/><Relationship Id="rId11" Type="http://schemas.openxmlformats.org/officeDocument/2006/relationships/image" Target="media/image-92e9c2194072427bded906e6c4c03e837f1479dc.jpg" TargetMode="Internal"/><Relationship Id="rId12" Type="http://schemas.openxmlformats.org/officeDocument/2006/relationships/image" Target="media/image-5a757539a43b3507ddbdfc8c80dafecae1aef51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2025-09-04T21:50:36.924Z</dcterms:created>
  <dcterms:modified xsi:type="dcterms:W3CDTF">2025-09-04T21:50:36.924Z</dcterms:modified>
</cp:coreProperties>
</file>