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ÉCOLE NORMALE SUPÉRIEURE DE LYON</w:t>
      </w:r>
    </w:p>
    <w:p>
      <w:pPr>
        <w:spacing w:line="271" w:before="330" w:lineRule="auto"/>
      </w:pPr>
      <w:r>
        <w:rPr>
          <w:b/>
          <w:sz w:val="42"/>
        </w:rPr>
        <w:t xml:space="preserve">CONCOURS D'ADMISSION 2024</w:t>
      </w:r>
    </w:p>
    <w:p>
      <w:pPr>
        <w:spacing w:after="220" w:lineRule="auto"/>
        <w:ind w:left="660"/>
      </w:pPr>
      <w:r>
        <w:rPr>
          <w:color w:val="666666"/>
        </w:rPr>
        <w:t xml:space="preserve">VENDREDI 19 AVRIL 2024</w:t>
      </w:r>
      <w:r>
        <w:rPr>
          <w:color w:val="666666"/>
        </w:rPr>
        <w:br w:type="textWrapping"/>
      </w:r>
      <w:r>
        <w:rPr>
          <w:color w:val="666666"/>
        </w:rPr>
        <w:t xml:space="preserve">08h00-13h00</w:t>
      </w:r>
      <w:r>
        <w:rPr>
          <w:color w:val="666666"/>
        </w:rPr>
        <w:br w:type="textWrapping"/>
      </w:r>
      <w:r>
        <w:rPr>
          <w:rFonts w:eastAsia="Georgia" w:cs="Georgia" w:ascii="Georgia" w:hAnsi="Georgia"/>
          <w:color w:val="666666"/>
        </w:rPr>
        <w:t xml:space="preserve">FILIERE PC - Épreuve </w:t>
      </w:r>
      <m:oMath>
        <m:sSup>
          <m:sSupPr>
            <m:ctrlPr>
              <w:rPr>
                <w:rFonts w:ascii="Cambria Math" w:hAnsi="Cambria Math"/>
                <w:color w:val="666666"/>
              </w:rPr>
            </m:ctrlPr>
          </m:sSupPr>
          <m:e>
            <m:r>
              <m:rPr>
                <m:sty m:val="p"/>
              </m:rPr>
              <w:rPr>
                <w:color w:val="666666"/>
              </w:rPr>
              <m:t>n</m:t>
            </m:r>
          </m:e>
          <m:sup>
            <m:r>
              <m:rPr>
                <m:sty m:val="p"/>
              </m:rPr>
              <w:rPr>
                <w:color w:val="666666"/>
              </w:rPr>
              <m:t>∘</m:t>
            </m:r>
          </m:sup>
        </m:sSup>
        <m:r>
          <m:rPr>
            <m:sty m:val="p"/>
          </m:rPr>
          <w:rPr>
            <w:color w:val="666666"/>
          </w:rPr>
          <m:t>9</m:t>
        </m:r>
      </m:oMath>
      <w:r>
        <w:rPr>
          <w:color w:val="666666"/>
        </w:rPr>
        <w:br w:type="textWrapping"/>
      </w:r>
      <w:r>
        <w:rPr>
          <w:color w:val="666666"/>
        </w:rPr>
        <w:t xml:space="preserve">PHYSIQUE-CHIMIE (L)</w:t>
      </w:r>
    </w:p>
    <w:p>
      <w:pPr>
        <w:spacing w:after="220" w:lineRule="auto"/>
      </w:pPr>
      <w:r>
        <w:rPr>
          <w:rFonts w:eastAsia="Georgia" w:cs="Georgia" w:ascii="Georgia" w:hAnsi="Georgia"/>
        </w:rPr>
        <w:t xml:space="preserve">Durée : 5 heures</w:t>
      </w:r>
    </w:p>
    <w:p>
      <w:pPr>
        <w:numPr>
          <w:ilvl w:val="0"/>
          <w:numId w:val="1"/>
        </w:numPr>
        <w:spacing w:lineRule="auto"/>
      </w:pPr>
      <w:r>
        <w:rPr>
          <w:rFonts w:eastAsia="Georgia" w:cs="Georgia" w:ascii="Georgia" w:hAnsi="Georgia"/>
        </w:rPr>
        <w:t xml:space="preserve">L'utilisation de calculatrices n'est pas autorisée pour cette épreuve.</w:t>
      </w:r>
    </w:p>
    <w:p>
      <w:pPr>
        <w:numPr>
          <w:ilvl w:val="0"/>
          <w:numId w:val="1"/>
        </w:numPr>
        <w:spacing w:lineRule="auto"/>
      </w:pPr>
      <w:r>
        <w:rPr>
          <w:rFonts w:eastAsia="Georgia" w:cs="Georgia" w:ascii="Georgia" w:hAnsi="Georgia"/>
        </w:rPr>
        <w:t xml:space="preserve">Les parties relatives à la chimie et à la physique doivent être rédigées sur des copies distinctes, en tête desquelles doit être mentionné respectivement "Physique-Chimie / Chimie" et "Physique-Chimie / Physique".</w:t>
      </w:r>
    </w:p>
    <w:p>
      <w:pPr>
        <w:numPr>
          <w:ilvl w:val="0"/>
          <w:numId w:val="1"/>
        </w:numPr>
        <w:spacing w:lineRule="auto"/>
      </w:pPr>
      <w:r>
        <w:rPr>
          <w:rFonts w:eastAsia="Georgia" w:cs="Georgia" w:ascii="Georgia" w:hAnsi="Georgia"/>
        </w:rPr>
        <w:t xml:space="preserve">Pour chacune de ces parties, les copies doivent être numérotées depuis 1.</w:t>
      </w:r>
    </w:p>
    <w:p>
      <w:pPr>
        <w:spacing w:after="220" w:lineRule="auto"/>
      </w:pPr>
      <w:r>
        <w:rPr>
          <w:rFonts w:eastAsia="Georgia" w:cs="Georgia" w:ascii="Georgia" w:hAnsi="Georgia"/>
        </w:rPr>
        <w:t xml:space="preserve">Cette épreuve comprend deux parties indépendantes. La première concerne la physique et s'intéresse au phénomène de stick-slip. La seconde est dédiée à la chimie et propose une étude des réacteurs électrochimiques.</w:t>
      </w:r>
      <w:r>
        <w:rPr/>
        <w:br w:type="textWrapping"/>
      </w:r>
      <m:oMath>
        <m:r>
          <m:rPr>
            <m:sty m:val="p"/>
          </m:rPr>
          <m:t>→</m:t>
        </m:r>
      </m:oMath>
      <w:r>
        <w:rPr>
          <w:rFonts w:eastAsia="Georgia" w:cs="Georgia" w:ascii="Georgia" w:hAnsi="Georgia"/>
        </w:rPr>
        <w:t xml:space="preserve"> Le barème est réparti à poids égal sur les parties physique et chimie. Il est conseillé de ne pas consacrer plus de deux heures et trente minutes à chacune d'elles.</w:t>
      </w:r>
      <w:r>
        <w:rPr/>
        <w:br w:type="textWrapping"/>
      </w:r>
      <m:oMath>
        <m:r>
          <m:rPr>
            <m:sty m:val="p"/>
          </m:rPr>
          <m:t>→</m:t>
        </m:r>
      </m:oMath>
      <w:r>
        <w:rPr>
          <w:rFonts w:eastAsia="Georgia" w:cs="Georgia" w:ascii="Georgia" w:hAnsi="Georgia"/>
        </w:rPr>
        <w:t xml:space="preserve"> Les résultats des applications numériques, ainsi que les ordres de grandeur, seront donnés avec un chiffre significatif.</w:t>
      </w:r>
      <w:r>
        <w:rPr/>
        <w:br w:type="textWrapping"/>
      </w:r>
      <m:oMath>
        <m:r>
          <m:rPr>
            <m:sty m:val="p"/>
          </m:rPr>
          <m:t>→</m:t>
        </m:r>
      </m:oMath>
      <w:r>
        <w:rPr>
          <w:rFonts w:eastAsia="Georgia" w:cs="Georgia" w:ascii="Georgia" w:hAnsi="Georgia"/>
        </w:rPr>
        <w:t xml:space="preserve"> Les références des questions abordées devront être indiquées de façon claire.</w:t>
      </w:r>
    </w:p>
    <w:p>
      <w:pPr>
        <w:spacing w:line="271" w:before="330" w:lineRule="auto"/>
      </w:pPr>
      <w:r>
        <w:rPr>
          <w:rFonts w:eastAsia="Georgia" w:cs="Georgia" w:ascii="Georgia" w:hAnsi="Georgia"/>
          <w:b/>
          <w:sz w:val="42"/>
        </w:rPr>
        <w:t xml:space="preserve">1 Étude d'un système modèle.</w:t>
      </w:r>
    </w:p>
    <w:p>
      <w:pPr>
        <w:spacing w:after="220" w:lineRule="auto"/>
      </w:pPr>
      <w:r>
        <w:rPr>
          <w:rFonts w:eastAsia="Georgia" w:cs="Georgia" w:ascii="Georgia" w:hAnsi="Georgia"/>
        </w:rPr>
        <w:t xml:space="preserve">Le système représenté sur la figure (1) permettra de mettre en place, dans une situation simple, les mécanismes physiques fondamentaux sur lesquels repose le phénomène de stick-slip. Un solide (1) homogène, de masse </w:t>
      </w:r>
      <m:oMath>
        <m:r>
          <m:rPr>
            <m:sty m:val="i"/>
          </m:rPr>
          <m:t>M</m:t>
        </m:r>
      </m:oMath>
      <w:r>
        <w:rPr>
          <w:rFonts w:eastAsia="Georgia" w:cs="Georgia" w:ascii="Georgia" w:hAnsi="Georgia"/>
        </w:rPr>
        <w:t xml:space="preserve">, de centre de masse G et de forme parallélépipédique, repose sur une surface plane horizontale (0). Cette dernière est immobile dans le référentiel d'étude </w:t>
      </w:r>
      <m:oMath>
        <m:r>
          <m:rPr>
            <m:scr m:val="script"/>
          </m:rPr>
          <m:t>R</m:t>
        </m:r>
        <m:r>
          <m:rPr>
            <m:sty m:val="p"/>
          </m:rPr>
          <m:t>(</m:t>
        </m:r>
        <m:r>
          <m:rPr>
            <m:sty m:val="p"/>
          </m:rPr>
          <m:t>O</m:t>
        </m:r>
        <m:r>
          <m:rPr>
            <m:sty m:val="p"/>
          </m:rPr>
          <m:t>,</m:t>
        </m:r>
        <m:r>
          <m:rPr>
            <m:sty m:val="i"/>
          </m:rPr>
          <m:t>x</m:t>
        </m:r>
        <m:r>
          <m:rPr>
            <m:sty m:val="p"/>
          </m:rPr>
          <m:t>,</m:t>
        </m:r>
        <m:r>
          <m:rPr>
            <m:sty m:val="i"/>
          </m:rPr>
          <m:t>y</m:t>
        </m:r>
        <m:r>
          <m:rPr>
            <m:sty m:val="p"/>
          </m:rPr>
          <m:t>,</m:t>
        </m:r>
        <m:r>
          <m:rPr>
            <m:sty m:val="i"/>
          </m:rPr>
          <m:t>z</m:t>
        </m:r>
        <m:r>
          <m:rPr>
            <m:sty m:val="p"/>
          </m:rPr>
          <m:t>)</m:t>
        </m:r>
      </m:oMath>
      <w:r>
        <w:rPr>
          <w:rFonts w:eastAsia="Georgia" w:cs="Georgia" w:ascii="Georgia" w:hAnsi="Georgia"/>
        </w:rPr>
        <w:t xml:space="preserve"> supposé galiléen.</w:t>
      </w:r>
    </w:p>
    <w:p>
      <w:pPr>
        <w:spacing w:lineRule="auto"/>
        <w:jc w:val="center"/>
      </w:pPr>
      <w:r>
        <w:rPr/>
        <w:drawing>
          <wp:inline distB="0" distL="0" distR="0" distT="0">
            <wp:extent cx="5486400" cy="1508838"/>
            <wp:effectExtent b="0" l="0" r="0" t="0"/>
            <wp:docPr id="1" name="image-3e325ab0dcd03e0f3a7a8bec15ee46cf8aab3d5e.jpg"/>
            <a:graphic>
              <a:graphicData uri="http://schemas.openxmlformats.org/drawingml/2006/picture">
                <pic:pic>
                  <pic:nvPicPr>
                    <pic:cNvPr id="1" name="image-3e325ab0dcd03e0f3a7a8bec15ee46cf8aab3d5e.jpg" descr=""/>
                    <pic:cNvPicPr/>
                  </pic:nvPicPr>
                  <pic:blipFill>
                    <a:blip r:embed="rId5" cstate="print"/>
                    <a:srcRect b="0" l="0" r="0" t="0"/>
                    <a:stretch>
                      <a:fillRect/>
                    </a:stretch>
                  </pic:blipFill>
                  <pic:spPr>
                    <a:xfrm>
                      <a:off x="0" y="0"/>
                      <a:ext cx="5486400" cy="1508838"/>
                    </a:xfrm>
                    <a:prstGeom prst="rect"/>
                  </pic:spPr>
                </pic:pic>
              </a:graphicData>
            </a:graphic>
          </wp:inline>
        </w:drawing>
      </w:r>
    </w:p>
    <w:p>
      <w:pPr>
        <w:spacing w:lineRule="auto"/>
      </w:pPr>
      <w:r>
        <w:rPr>
          <w:rFonts w:eastAsia="Georgia" w:cs="Georgia" w:ascii="Georgia" w:hAnsi="Georgia"/>
        </w:rPr>
        <w:t xml:space="preserve">Figure 1 - Système mécanique étudié : le solide (1) est entraîné en translation, par l'intermédiaire d'un ressort (2), par un opérateur extérieur qui déplace l'élément (3) selon la direction ( </w:t>
      </w:r>
      <m:oMath>
        <m:r>
          <m:rPr>
            <m:sty m:val="p"/>
          </m:rPr>
          <m:t>O</m:t>
        </m:r>
        <m:r>
          <m:rPr>
            <m:sty m:val="i"/>
          </m:rPr>
          <m:t>x</m:t>
        </m:r>
      </m:oMath>
      <w:r>
        <w:rPr/>
        <w:t xml:space="preserve"> ).</w:t>
      </w:r>
    </w:p>
    <w:p>
      <w:pPr>
        <w:spacing w:after="220" w:lineRule="auto"/>
      </w:pPr>
      <w:r>
        <w:rPr/>
        <w:t xml:space="preserve">Le solide (1) est soumis au champ de pesanteur </w:t>
      </w:r>
      <m:oMath>
        <m:acc>
          <m:accPr>
            <m:chr m:val="⃗"/>
          </m:accPr>
          <m:e>
            <m:r>
              <m:rPr>
                <m:sty m:val="i"/>
              </m:rPr>
              <m:t>g</m:t>
            </m:r>
          </m:e>
        </m:acc>
        <m:r>
          <m:rPr>
            <m:sty m:val="p"/>
          </m:rPr>
          <m:t>=</m:t>
        </m:r>
        <m:r>
          <m:rPr>
            <m:sty m:val="p"/>
          </m:rPr>
          <m:t>−</m:t>
        </m:r>
        <m:r>
          <m:rPr>
            <m:sty m:val="i"/>
          </m:rPr>
          <m:t>g</m:t>
        </m:r>
        <m:sSub>
          <m:sSubPr/>
          <m:e>
            <m:acc>
              <m:accPr>
                <m:chr m:val="⃗"/>
              </m:accPr>
              <m:e>
                <m:r>
                  <m:rPr>
                    <m:sty m:val="i"/>
                  </m:rPr>
                  <m:t>e</m:t>
                </m:r>
              </m:e>
            </m:acc>
          </m:e>
          <m:sub>
            <m:r>
              <m:rPr>
                <m:sty m:val="i"/>
              </m:rPr>
              <m:t>y</m:t>
            </m:r>
          </m:sub>
        </m:sSub>
        <m:r>
          <m:rPr>
            <m:sty m:val="p"/>
          </m:rPr>
          <m:t>(</m:t>
        </m:r>
        <m:r>
          <m:rPr>
            <m:sty m:val="i"/>
          </m:rPr>
          <m:t>g</m:t>
        </m:r>
        <m:r>
          <m:rPr>
            <m:sty m:val="p"/>
          </m:rPr>
          <m:t>&gt;</m:t>
        </m:r>
        <m:r>
          <m:rPr>
            <m:sty m:val="p"/>
          </m:rPr>
          <m:t>0</m:t>
        </m:r>
        <m:r>
          <m:rPr>
            <m:sty m:val="p"/>
          </m:rPr>
          <m:t>)</m:t>
        </m:r>
      </m:oMath>
      <w:r>
        <w:rPr>
          <w:rFonts w:eastAsia="Georgia" w:cs="Georgia" w:ascii="Georgia" w:hAnsi="Georgia"/>
        </w:rPr>
        <w:t xml:space="preserve"> et est, par ailleurs, en liaison élastique avec un élément tracteur (3) par l'intermédiaire d'un ressort (2) (horizontal) de raideur </w:t>
      </w:r>
      <m:oMath>
        <m:r>
          <m:rPr>
            <m:sty m:val="i"/>
          </m:rPr>
          <m:t>k</m:t>
        </m:r>
      </m:oMath>
      <w:r>
        <w:rPr>
          <w:rFonts w:eastAsia="Georgia" w:cs="Georgia" w:ascii="Georgia" w:hAnsi="Georgia"/>
        </w:rPr>
        <w:t xml:space="preserve"> et de longueur à vide </w:t>
      </w:r>
      <m:oMath>
        <m:r>
          <m:rPr>
            <m:sty m:val="i"/>
          </m:rPr>
          <m:t>a</m:t>
        </m:r>
      </m:oMath>
      <w:r>
        <w:rPr>
          <w:rFonts w:eastAsia="Georgia" w:cs="Georgia" w:ascii="Georgia" w:hAnsi="Georgia"/>
        </w:rPr>
        <w:t xml:space="preserve">. Un opérateur extérieur fixe la vitesse </w:t>
      </w:r>
      <m:oMath>
        <m:sSub>
          <m:sSubPr/>
          <m:e>
            <m:acc>
              <m:accPr>
                <m:chr m:val="⃗"/>
              </m:accPr>
              <m:e>
                <m:r>
                  <m:rPr>
                    <m:sty m:val="i"/>
                  </m:rPr>
                  <m:t>V</m:t>
                </m:r>
              </m:e>
            </m:acc>
          </m:e>
          <m:sub>
            <m:r>
              <m:rPr>
                <m:sty m:val="p"/>
              </m:rPr>
              <m:t>B</m:t>
            </m:r>
          </m:sub>
        </m:sSub>
        <m:r>
          <m:rPr>
            <m:sty m:val="p"/>
          </m:rPr>
          <m:t>=</m:t>
        </m:r>
        <m:sSub>
          <m:sSubPr/>
          <m:e>
            <m:r>
              <m:rPr>
                <m:sty m:val="i"/>
              </m:rPr>
              <m:t>V</m:t>
            </m:r>
          </m:e>
          <m:sub>
            <m:r>
              <m:rPr>
                <m:sty m:val="p"/>
              </m:rPr>
              <m:t>B</m:t>
            </m:r>
          </m:sub>
        </m:sSub>
        <m:sSub>
          <m:sSubPr/>
          <m:e>
            <m:acc>
              <m:accPr>
                <m:chr m:val="⃗"/>
              </m:accPr>
              <m:e>
                <m:r>
                  <m:rPr>
                    <m:sty m:val="i"/>
                  </m:rPr>
                  <m:t>e</m:t>
                </m:r>
              </m:e>
            </m:acc>
          </m:e>
          <m:sub>
            <m:r>
              <m:rPr>
                <m:sty m:val="i"/>
              </m:rPr>
              <m:t>x</m:t>
            </m:r>
          </m:sub>
        </m:sSub>
        <m:d>
          <m:dPr>
            <m:begChr m:val="("/>
            <m:endChr m:val=")"/>
            <m:ctrlPr>
              <w:rPr>
                <w:rFonts w:ascii="Cambria Math" w:hAnsi="Cambria Math"/>
              </w:rPr>
            </m:ctrlPr>
          </m:dPr>
          <m:e>
            <m:sSub>
              <m:sSubPr/>
              <m:e>
                <m:r>
                  <m:rPr>
                    <m:sty m:val="i"/>
                  </m:rPr>
                  <m:t>V</m:t>
                </m:r>
              </m:e>
              <m:sub>
                <m:r>
                  <m:rPr>
                    <m:sty m:val="p"/>
                  </m:rPr>
                  <m:t>B</m:t>
                </m:r>
              </m:sub>
            </m:sSub>
            <m:r>
              <m:rPr>
                <m:sty m:val="p"/>
              </m:rPr>
              <m:t>≥</m:t>
            </m:r>
            <m:r>
              <m:rPr>
                <m:sty m:val="p"/>
              </m:rPr>
              <m:t>0</m:t>
            </m:r>
          </m:e>
        </m:d>
      </m:oMath>
      <w:r>
        <w:rPr>
          <w:rFonts w:eastAsia="Georgia" w:cs="Georgia" w:ascii="Georgia" w:hAnsi="Georgia"/>
        </w:rPr>
        <w:t xml:space="preserve"> de l'élément (3). Nous notons </w:t>
      </w:r>
      <m:oMath>
        <m:acc>
          <m:accPr>
            <m:chr m:val="⃗"/>
          </m:accPr>
          <m:e>
            <m:r>
              <m:rPr>
                <m:sty m:val="i"/>
              </m:rPr>
              <m:t>R</m:t>
            </m:r>
          </m:e>
        </m:acc>
        <m:r>
          <m:rPr>
            <m:sty m:val="p"/>
          </m:rPr>
          <m:t>=</m:t>
        </m:r>
        <m:r>
          <m:rPr>
            <m:sty m:val="i"/>
          </m:rPr>
          <m:t>T</m:t>
        </m:r>
        <m:sSub>
          <m:sSubPr/>
          <m:e>
            <m:acc>
              <m:accPr>
                <m:chr m:val="⃗"/>
              </m:accPr>
              <m:e>
                <m:r>
                  <m:rPr>
                    <m:sty m:val="i"/>
                  </m:rPr>
                  <m:t>e</m:t>
                </m:r>
              </m:e>
            </m:acc>
          </m:e>
          <m:sub>
            <m:r>
              <m:rPr>
                <m:sty m:val="i"/>
              </m:rPr>
              <m:t>x</m:t>
            </m:r>
          </m:sub>
        </m:sSub>
        <m:r>
          <m:rPr>
            <m:sty m:val="p"/>
          </m:rPr>
          <m:t>+</m:t>
        </m:r>
        <m:r>
          <m:rPr>
            <m:sty m:val="i"/>
          </m:rPr>
          <m:t>N</m:t>
        </m:r>
        <m:sSub>
          <m:sSubPr/>
          <m:e>
            <m:acc>
              <m:accPr>
                <m:chr m:val="⃗"/>
              </m:accPr>
              <m:e>
                <m:r>
                  <m:rPr>
                    <m:sty m:val="i"/>
                  </m:rPr>
                  <m:t>e</m:t>
                </m:r>
              </m:e>
            </m:acc>
          </m:e>
          <m:sub>
            <m:r>
              <m:rPr>
                <m:sty m:val="i"/>
              </m:rPr>
              <m:t>y</m:t>
            </m:r>
          </m:sub>
        </m:sSub>
      </m:oMath>
      <w:r>
        <w:rPr>
          <w:rFonts w:eastAsia="Georgia" w:cs="Georgia" w:ascii="Georgia" w:hAnsi="Georgia"/>
        </w:rPr>
        <w:t xml:space="preserve"> la résultante des actions de contact qu'exerce la surface (0) sur le solide (1), et </w:t>
      </w:r>
      <m:oMath>
        <m:sSub>
          <m:sSubPr/>
          <m:e>
            <m:acc>
              <m:accPr>
                <m:chr m:val="⃗"/>
              </m:accPr>
              <m:e>
                <m:r>
                  <m:rPr>
                    <m:sty m:val="i"/>
                  </m:rPr>
                  <m:t>F</m:t>
                </m:r>
              </m:e>
            </m:acc>
          </m:e>
          <m:sub>
            <m:r>
              <m:rPr>
                <m:sty m:val="p"/>
              </m:rPr>
              <m:t>R</m:t>
            </m:r>
          </m:sub>
        </m:sSub>
        <m:r>
          <m:rPr>
            <m:sty m:val="p"/>
          </m:rPr>
          <m:t>=</m:t>
        </m:r>
        <m:sSub>
          <m:sSubPr/>
          <m:e>
            <m:r>
              <m:rPr>
                <m:sty m:val="i"/>
              </m:rPr>
              <m:t>F</m:t>
            </m:r>
          </m:e>
          <m:sub>
            <m:r>
              <m:rPr>
                <m:sty m:val="p"/>
              </m:rPr>
              <m:t>R</m:t>
            </m:r>
          </m:sub>
        </m:sSub>
        <m:sSub>
          <m:sSubPr/>
          <m:e>
            <m:acc>
              <m:accPr>
                <m:chr m:val="⃗"/>
              </m:accPr>
              <m:e>
                <m:r>
                  <m:rPr>
                    <m:sty m:val="i"/>
                  </m:rPr>
                  <m:t>e</m:t>
                </m:r>
              </m:e>
            </m:acc>
          </m:e>
          <m:sub>
            <m:r>
              <m:rPr>
                <m:sty m:val="i"/>
              </m:rPr>
              <m:t>x</m:t>
            </m:r>
          </m:sub>
        </m:sSub>
      </m:oMath>
      <w:r>
        <w:rPr/>
        <w:t xml:space="preserve"> la force que le ressort (2) exerce sur le solide (1), au point A.</w:t>
      </w:r>
    </w:p>
    <w:p>
      <w:pPr>
        <w:spacing w:after="220" w:lineRule="auto"/>
      </w:pPr>
      <w:r>
        <w:rPr/>
        <w:t xml:space="preserve">Nous notons </w:t>
      </w:r>
      <m:oMath>
        <m:r>
          <m:rPr>
            <m:sty m:val="i"/>
          </m:rPr>
          <m:t>s</m:t>
        </m:r>
        <m:r>
          <m:rPr>
            <m:sty m:val="p"/>
          </m:rPr>
          <m:t>=</m:t>
        </m:r>
        <m:sSub>
          <m:sSubPr/>
          <m:e>
            <m:r>
              <m:rPr>
                <m:sty m:val="i"/>
              </m:rPr>
              <m:t>x</m:t>
            </m:r>
          </m:e>
          <m:sub>
            <m:r>
              <m:rPr>
                <m:sty m:val="p"/>
              </m:rPr>
              <m:t>B</m:t>
            </m:r>
          </m:sub>
        </m:sSub>
        <m:r>
          <m:rPr>
            <m:sty m:val="p"/>
          </m:rPr>
          <m:t>−</m:t>
        </m:r>
        <m:sSub>
          <m:sSubPr/>
          <m:e>
            <m:r>
              <m:rPr>
                <m:sty m:val="i"/>
              </m:rPr>
              <m:t>x</m:t>
            </m:r>
          </m:e>
          <m:sub>
            <m:r>
              <m:rPr>
                <m:sty m:val="p"/>
              </m:rPr>
              <m:t>A</m:t>
            </m:r>
          </m:sub>
        </m:sSub>
      </m:oMath>
      <w:r>
        <w:rPr>
          <w:rFonts w:eastAsia="Georgia" w:cs="Georgia" w:ascii="Georgia" w:hAnsi="Georgia"/>
        </w:rPr>
        <w:t xml:space="preserve"> la différence des abscisses des points B et A correspondant aux extrémités du ressort (2) (la différence ( </w:t>
      </w:r>
      <m:oMath>
        <m:r>
          <m:rPr>
            <m:sty m:val="i"/>
          </m:rPr>
          <m:t>s</m:t>
        </m:r>
        <m:r>
          <m:rPr>
            <m:sty m:val="p"/>
          </m:rPr>
          <m:t>−</m:t>
        </m:r>
        <m:r>
          <m:rPr>
            <m:sty m:val="i"/>
          </m:rPr>
          <m:t>a</m:t>
        </m:r>
      </m:oMath>
      <w:r>
        <w:rPr>
          <w:rFonts w:eastAsia="Georgia" w:cs="Georgia" w:ascii="Georgia" w:hAnsi="Georgia"/>
        </w:rPr>
        <w:t xml:space="preserve"> ) est l'élongation du ressort), u l'abscisse du centre de masse G du solide (1) et </w:t>
      </w:r>
      <m:oMath>
        <m:r>
          <m:rPr>
            <m:sty m:val="i"/>
          </m:rPr>
          <m:t>v</m:t>
        </m:r>
        <m:r>
          <m:rPr>
            <m:sty m:val="p"/>
          </m:rPr>
          <m:t>=</m:t>
        </m:r>
        <m:acc>
          <m:accPr>
            <m:chr m:val="˙"/>
          </m:accPr>
          <m:e>
            <m:r>
              <m:rPr>
                <m:sty m:val="i"/>
              </m:rPr>
              <m:t>u</m:t>
            </m:r>
          </m:e>
        </m:acc>
      </m:oMath>
      <w:r>
        <w:rPr/>
        <w:t xml:space="preserve"> sa vitesse.</w:t>
      </w:r>
    </w:p>
    <w:p>
      <w:pPr>
        <w:numPr>
          <w:ilvl w:val="0"/>
          <w:numId w:val="2"/>
        </w:numPr>
        <w:spacing w:lineRule="auto"/>
      </w:pPr>
      <w:r>
        <w:rPr>
          <w:rFonts w:eastAsia="Georgia" w:cs="Georgia" w:ascii="Georgia" w:hAnsi="Georgia"/>
        </w:rPr>
        <w:t xml:space="preserve">Nous adoptons le modèle de frottement solide suivant (établi sur la base des lois phénoménologiques de Amontons-Coulomb) :</w:t>
      </w:r>
    </w:p>
    <w:p>
      <w:pPr>
        <w:numPr>
          <w:ilvl w:val="0"/>
          <w:numId w:val="2"/>
        </w:numPr>
        <w:spacing w:lineRule="auto"/>
      </w:pPr>
      <w:r>
        <w:rPr/>
        <w:t xml:space="preserve">Si </w:t>
      </w:r>
      <m:oMath>
        <m:r>
          <m:rPr>
            <m:sty m:val="i"/>
          </m:rPr>
          <m:t>v</m:t>
        </m:r>
        <m:r>
          <m:rPr>
            <m:sty m:val="p"/>
          </m:rPr>
          <m:t>=</m:t>
        </m:r>
        <m:r>
          <m:rPr>
            <m:sty m:val="p"/>
          </m:rPr>
          <m:t>0</m:t>
        </m:r>
      </m:oMath>
      <w:r>
        <w:rPr/>
        <w:t xml:space="preserve">, alors </w:t>
      </w:r>
      <m:oMath>
        <m:r>
          <m:rPr>
            <m:sty m:val="p"/>
          </m:rPr>
          <m:t>|</m:t>
        </m:r>
        <m:r>
          <m:rPr>
            <m:sty m:val="i"/>
          </m:rPr>
          <m:t>T</m:t>
        </m:r>
        <m:r>
          <m:rPr>
            <m:sty m:val="p"/>
          </m:rPr>
          <m:t>|</m:t>
        </m:r>
        <m:r>
          <m:rPr>
            <m:sty m:val="p"/>
          </m:rPr>
          <m:t>&lt;</m:t>
        </m:r>
        <m:sSub>
          <m:sSubPr/>
          <m:e>
            <m:r>
              <m:rPr>
                <m:sty m:val="i"/>
              </m:rPr>
              <m:t>f</m:t>
            </m:r>
          </m:e>
          <m:sub>
            <m:r>
              <m:rPr>
                <m:sty m:val="p"/>
              </m:rPr>
              <m:t>s</m:t>
            </m:r>
          </m:sub>
        </m:sSub>
        <m:r>
          <m:rPr>
            <m:sty m:val="p"/>
          </m:rPr>
          <m:t>|</m:t>
        </m:r>
        <m:r>
          <m:rPr>
            <m:sty m:val="i"/>
          </m:rPr>
          <m:t>N</m:t>
        </m:r>
        <m:r>
          <m:rPr>
            <m:sty m:val="p"/>
          </m:rPr>
          <m:t>|</m:t>
        </m:r>
      </m:oMath>
      <w:r>
        <w:rPr>
          <w:rFonts w:eastAsia="Georgia" w:cs="Georgia" w:ascii="Georgia" w:hAnsi="Georgia"/>
        </w:rPr>
        <w:t xml:space="preserve"> (état d'adhérence);</w:t>
      </w:r>
    </w:p>
    <w:p>
      <w:pPr>
        <w:numPr>
          <w:ilvl w:val="0"/>
          <w:numId w:val="2"/>
        </w:numPr>
        <w:spacing w:lineRule="auto"/>
      </w:pPr>
      <w:r>
        <w:rPr/>
        <w:t xml:space="preserve">Si </w:t>
      </w:r>
      <m:oMath>
        <m:r>
          <m:rPr>
            <m:sty m:val="p"/>
          </m:rPr>
          <m:t>|</m:t>
        </m:r>
        <m:r>
          <m:rPr>
            <m:sty m:val="i"/>
          </m:rPr>
          <m:t>T</m:t>
        </m:r>
        <m:r>
          <m:rPr>
            <m:sty m:val="p"/>
          </m:rPr>
          <m:t>|</m:t>
        </m:r>
      </m:oMath>
      <w:r>
        <w:rPr/>
        <w:t xml:space="preserve"> atteint </w:t>
      </w:r>
      <m:oMath>
        <m:sSub>
          <m:sSubPr/>
          <m:e>
            <m:r>
              <m:rPr>
                <m:sty m:val="i"/>
              </m:rPr>
              <m:t>f</m:t>
            </m:r>
          </m:e>
          <m:sub>
            <m:r>
              <m:rPr>
                <m:sty m:val="p"/>
              </m:rPr>
              <m:t>s</m:t>
            </m:r>
          </m:sub>
        </m:sSub>
        <m:r>
          <m:rPr>
            <m:sty m:val="p"/>
          </m:rPr>
          <m:t>|</m:t>
        </m:r>
        <m:r>
          <m:rPr>
            <m:sty m:val="i"/>
          </m:rPr>
          <m:t>N</m:t>
        </m:r>
        <m:r>
          <m:rPr>
            <m:sty m:val="p"/>
          </m:rPr>
          <m:t>|</m:t>
        </m:r>
      </m:oMath>
      <w:r>
        <w:rPr>
          <w:rFonts w:eastAsia="Georgia" w:cs="Georgia" w:ascii="Georgia" w:hAnsi="Georgia"/>
        </w:rPr>
        <w:t xml:space="preserve">, le glissement apparaît (transition adhérence </w:t>
      </w:r>
      <m:oMath>
        <m:r>
          <m:rPr>
            <m:sty m:val="p"/>
          </m:rPr>
          <m:t>→</m:t>
        </m:r>
      </m:oMath>
      <w:r>
        <w:rPr/>
        <w:t xml:space="preserve"> glissement);</w:t>
      </w:r>
    </w:p>
    <w:p>
      <w:pPr>
        <w:numPr>
          <w:ilvl w:val="0"/>
          <w:numId w:val="2"/>
        </w:numPr>
        <w:spacing w:lineRule="auto"/>
      </w:pPr>
      <w:r>
        <w:rPr/>
        <w:t xml:space="preserve">Si </w:t>
      </w:r>
      <m:oMath>
        <m:r>
          <m:rPr>
            <m:sty m:val="i"/>
          </m:rPr>
          <m:t>v</m:t>
        </m:r>
        <m:r>
          <m:rPr>
            <m:sty m:val="p"/>
          </m:rPr>
          <m:t>≠</m:t>
        </m:r>
        <m:r>
          <m:rPr>
            <m:sty m:val="p"/>
          </m:rPr>
          <m:t>0</m:t>
        </m:r>
      </m:oMath>
      <w:r>
        <w:rPr/>
        <w:t xml:space="preserve">, alors </w:t>
      </w:r>
      <m:oMath>
        <m:r>
          <m:rPr>
            <m:sty m:val="p"/>
          </m:rPr>
          <m:t>|</m:t>
        </m:r>
        <m:r>
          <m:rPr>
            <m:sty m:val="i"/>
          </m:rPr>
          <m:t>T</m:t>
        </m:r>
        <m:r>
          <m:rPr>
            <m:sty m:val="p"/>
          </m:rPr>
          <m:t>|</m:t>
        </m:r>
        <m:r>
          <m:rPr>
            <m:sty m:val="p"/>
          </m:rPr>
          <m:t>=</m:t>
        </m:r>
        <m:sSub>
          <m:sSubPr/>
          <m:e>
            <m:r>
              <m:rPr>
                <m:sty m:val="i"/>
              </m:rPr>
              <m:t>f</m:t>
            </m:r>
          </m:e>
          <m:sub>
            <m:r>
              <m:rPr>
                <m:sty m:val="p"/>
              </m:rPr>
              <m:t>d</m:t>
            </m:r>
          </m:sub>
        </m:sSub>
        <m:r>
          <m:rPr>
            <m:sty m:val="p"/>
          </m:rPr>
          <m:t>|</m:t>
        </m:r>
        <m:r>
          <m:rPr>
            <m:sty m:val="i"/>
          </m:rPr>
          <m:t>N</m:t>
        </m:r>
        <m:r>
          <m:rPr>
            <m:sty m:val="p"/>
          </m:rPr>
          <m:t>|</m:t>
        </m:r>
      </m:oMath>
      <w:r>
        <w:rPr/>
        <w:t xml:space="preserve"> et </w:t>
      </w:r>
      <m:oMath>
        <m:r>
          <m:rPr>
            <m:sty m:val="i"/>
          </m:rPr>
          <m:t>T</m:t>
        </m:r>
        <m:r>
          <m:rPr>
            <m:sty m:val="i"/>
          </m:rPr>
          <m:t>v</m:t>
        </m:r>
        <m:r>
          <m:rPr>
            <m:sty m:val="p"/>
          </m:rPr>
          <m:t>&lt;</m:t>
        </m:r>
        <m:r>
          <m:rPr>
            <m:sty m:val="p"/>
          </m:rPr>
          <m:t>0</m:t>
        </m:r>
      </m:oMath>
      <w:r>
        <w:rPr>
          <w:rFonts w:eastAsia="Georgia" w:cs="Georgia" w:ascii="Georgia" w:hAnsi="Georgia"/>
        </w:rPr>
        <w:t xml:space="preserve"> (état de glissement);</w:t>
      </w:r>
    </w:p>
    <w:p>
      <w:pPr>
        <w:spacing w:after="220" w:lineRule="auto"/>
      </w:pPr>
      <w:r>
        <w:rPr>
          <w:rFonts w:eastAsia="Georgia" w:cs="Georgia" w:ascii="Georgia" w:hAnsi="Georgia"/>
        </w:rPr>
        <w:t xml:space="preserve">Les paramètres </w:t>
      </w:r>
      <m:oMath>
        <m:sSub>
          <m:sSubPr/>
          <m:e>
            <m:r>
              <m:rPr>
                <m:sty m:val="i"/>
              </m:rPr>
              <m:t>f</m:t>
            </m:r>
          </m:e>
          <m:sub>
            <m:r>
              <m:rPr>
                <m:sty m:val="p"/>
              </m:rPr>
              <m:t>s</m:t>
            </m:r>
          </m:sub>
        </m:sSub>
      </m:oMath>
      <w:r>
        <w:rPr/>
        <w:t xml:space="preserve"> et </w:t>
      </w:r>
      <m:oMath>
        <m:sSub>
          <m:sSubPr/>
          <m:e>
            <m:r>
              <m:rPr>
                <m:sty m:val="i"/>
              </m:rPr>
              <m:t>f</m:t>
            </m:r>
          </m:e>
          <m:sub>
            <m:r>
              <m:rPr>
                <m:sty m:val="p"/>
              </m:rPr>
              <m:t>d</m:t>
            </m:r>
          </m:sub>
        </m:sSub>
        <m:d>
          <m:dPr>
            <m:begChr m:val="("/>
            <m:endChr m:val=")"/>
            <m:ctrlPr>
              <w:rPr>
                <w:rFonts w:ascii="Cambria Math" w:hAnsi="Cambria Math"/>
              </w:rPr>
            </m:ctrlPr>
          </m:dPr>
          <m:e>
            <m:r>
              <m:rPr>
                <m:sty m:val="p"/>
              </m:rPr>
              <m:t>0</m:t>
            </m:r>
            <m:r>
              <m:rPr>
                <m:sty m:val="p"/>
              </m:rPr>
              <m:t>&lt;</m:t>
            </m:r>
            <m:sSub>
              <m:sSubPr/>
              <m:e>
                <m:r>
                  <m:rPr>
                    <m:sty m:val="i"/>
                  </m:rPr>
                  <m:t>f</m:t>
                </m:r>
              </m:e>
              <m:sub>
                <m:r>
                  <m:rPr>
                    <m:sty m:val="p"/>
                  </m:rPr>
                  <m:t>d</m:t>
                </m:r>
              </m:sub>
            </m:sSub>
            <m:r>
              <m:rPr>
                <m:sty m:val="p"/>
              </m:rPr>
              <m:t>&lt;</m:t>
            </m:r>
            <m:sSub>
              <m:sSubPr/>
              <m:e>
                <m:r>
                  <m:rPr>
                    <m:sty m:val="i"/>
                  </m:rPr>
                  <m:t>f</m:t>
                </m:r>
              </m:e>
              <m:sub>
                <m:r>
                  <m:rPr>
                    <m:sty m:val="p"/>
                  </m:rPr>
                  <m:t>s</m:t>
                </m:r>
              </m:sub>
            </m:sSub>
          </m:e>
        </m:d>
      </m:oMath>
      <w:r>
        <w:rPr>
          <w:rFonts w:eastAsia="Georgia" w:cs="Georgia" w:ascii="Georgia" w:hAnsi="Georgia"/>
        </w:rPr>
        <w:t xml:space="preserve"> sont, respectivement, les coefficients de frottement statique et dynamique. Ils sont supposés constants.</w:t>
      </w:r>
    </w:p>
    <w:p>
      <w:pPr>
        <w:numPr>
          <w:ilvl w:val="0"/>
          <w:numId w:val="3"/>
        </w:numPr>
        <w:spacing w:lineRule="auto"/>
      </w:pPr>
      <w:r>
        <w:rPr/>
        <w:t xml:space="preserve">Nous supposons que </w:t>
      </w:r>
      <m:oMath>
        <m:sSub>
          <m:sSubPr/>
          <m:e>
            <m:r>
              <m:rPr>
                <m:sty m:val="i"/>
              </m:rPr>
              <m:t>V</m:t>
            </m:r>
          </m:e>
          <m:sub>
            <m:r>
              <m:rPr>
                <m:sty m:val="p"/>
              </m:rPr>
              <m:t>B</m:t>
            </m:r>
          </m:sub>
        </m:sSub>
        <m:r>
          <m:rPr>
            <m:sty m:val="p"/>
          </m:rPr>
          <m:t>=</m:t>
        </m:r>
        <m:r>
          <m:rPr>
            <m:sty m:val="p"/>
          </m:rPr>
          <m:t>0</m:t>
        </m:r>
      </m:oMath>
      <w:r>
        <w:rPr>
          <w:rFonts w:eastAsia="Georgia" w:cs="Georgia" w:ascii="Georgia" w:hAnsi="Georgia"/>
        </w:rPr>
        <w:t xml:space="preserve"> et que le ressort a été tendu, mais de telle façon que le solide (1) reste immobile.</w:t>
      </w:r>
    </w:p>
    <w:p>
      <w:pPr>
        <w:spacing w:after="220" w:lineRule="auto"/>
      </w:pPr>
      <w:r>
        <w:rPr>
          <w:rFonts w:eastAsia="Georgia" w:cs="Georgia" w:ascii="Georgia" w:hAnsi="Georgia"/>
        </w:rPr>
        <w:t xml:space="preserve">Rappeler à quelles conditions un solide soumis à trois forces est à l'équilibre. Représenter, sur un schéma, le solide (1) et les trois forces auxquelles il est soumis. On veillera à situer correctement l'axe portant la réaction </w:t>
      </w:r>
      <m:oMath>
        <m:acc>
          <m:accPr>
            <m:chr m:val="⃗"/>
          </m:accPr>
          <m:e>
            <m:r>
              <m:rPr>
                <m:sty m:val="i"/>
              </m:rPr>
              <m:t>R</m:t>
            </m:r>
          </m:e>
        </m:acc>
      </m:oMath>
      <w:r>
        <w:rPr>
          <w:rFonts w:eastAsia="Georgia" w:cs="Georgia" w:ascii="Georgia" w:hAnsi="Georgia"/>
        </w:rPr>
        <w:t xml:space="preserve"> qu'exerce la surface (0) sur ce solide, ainsi que le point I d'application de cette réaction.</w:t>
      </w:r>
      <w:r>
        <w:rPr/>
        <w:br w:type="textWrapping"/>
      </w:r>
      <w:r>
        <w:rPr>
          <w:rFonts w:eastAsia="Georgia" w:cs="Georgia" w:ascii="Georgia" w:hAnsi="Georgia"/>
        </w:rPr>
        <w:t xml:space="preserve">2. Nous supposons que l'opérateur extérieur, en déplaçant l'élément (3), fait croître progressivement la force </w:t>
      </w:r>
      <m:oMath>
        <m:sSub>
          <m:sSubPr/>
          <m:e>
            <m:r>
              <m:rPr>
                <m:sty m:val="i"/>
              </m:rPr>
              <m:t>F</m:t>
            </m:r>
          </m:e>
          <m:sub>
            <m:r>
              <m:rPr>
                <m:sty m:val="p"/>
              </m:rPr>
              <m:t>R</m:t>
            </m:r>
          </m:sub>
        </m:sSub>
      </m:oMath>
      <w:r>
        <w:rPr/>
        <w:t xml:space="preserve">, depuis la valeur nulle.</w:t>
      </w:r>
    </w:p>
    <w:p>
      <w:pPr>
        <w:spacing w:after="220" w:lineRule="auto"/>
      </w:pPr>
      <w:r>
        <w:rPr>
          <w:rFonts w:eastAsia="Georgia" w:cs="Georgia" w:ascii="Georgia" w:hAnsi="Georgia"/>
        </w:rPr>
        <w:t xml:space="preserve">En raisonnant sur la figure tracée précédemment, déterminer à quelle condition, portant sur </w:t>
      </w:r>
      <m:oMath>
        <m:sSub>
          <m:sSubPr/>
          <m:e>
            <m:r>
              <m:rPr>
                <m:sty m:val="i"/>
              </m:rPr>
              <m:t>L</m:t>
            </m:r>
          </m:e>
          <m:sub>
            <m:r>
              <m:rPr>
                <m:sty m:val="i"/>
              </m:rPr>
              <m:t>x</m:t>
            </m:r>
          </m:sub>
        </m:sSub>
        <m:r>
          <m:rPr>
            <m:sty m:val="p"/>
          </m:rPr>
          <m:t>,</m:t>
        </m:r>
        <m:sSub>
          <m:sSubPr/>
          <m:e>
            <m:r>
              <m:rPr>
                <m:sty m:val="i"/>
              </m:rPr>
              <m:t>L</m:t>
            </m:r>
          </m:e>
          <m:sub>
            <m:r>
              <m:rPr>
                <m:sty m:val="i"/>
              </m:rPr>
              <m:t>y</m:t>
            </m:r>
          </m:sub>
        </m:sSub>
      </m:oMath>
      <w:r>
        <w:rPr/>
        <w:t xml:space="preserve"> et </w:t>
      </w:r>
      <m:oMath>
        <m:sSub>
          <m:sSubPr/>
          <m:e>
            <m:r>
              <m:rPr>
                <m:sty m:val="i"/>
              </m:rPr>
              <m:t>f</m:t>
            </m:r>
          </m:e>
          <m:sub>
            <m:r>
              <m:rPr>
                <m:sty m:val="p"/>
              </m:rPr>
              <m:t>s</m:t>
            </m:r>
          </m:sub>
        </m:sSub>
      </m:oMath>
      <w:r>
        <w:rPr>
          <w:rFonts w:eastAsia="Georgia" w:cs="Georgia" w:ascii="Georgia" w:hAnsi="Georgia"/>
        </w:rPr>
        <w:t xml:space="preserve">, le solide (1) atteindra le glissement, sans avoir basculé.</w:t>
      </w:r>
    </w:p>
    <w:p>
      <w:pPr>
        <w:spacing w:after="220" w:lineRule="auto"/>
      </w:pPr>
      <w:r>
        <w:rPr/>
        <w:t xml:space="preserve">Dans la suite, nous supposerons que cette condition est toujours satisfaite.</w:t>
      </w:r>
      <w:r>
        <w:rPr/>
        <w:br w:type="textWrapping"/>
      </w:r>
      <w:r>
        <w:rPr/>
        <w:t xml:space="preserve">3. Nous posons </w:t>
      </w:r>
      <m:oMath>
        <m:r>
          <m:rPr>
            <m:sty m:val="i"/>
          </m:rPr>
          <m:t>α</m:t>
        </m:r>
        <m:r>
          <m:rPr>
            <m:sty m:val="p"/>
          </m:rPr>
          <m:t>=</m:t>
        </m:r>
        <m:r>
          <m:rPr>
            <m:sty m:val="i"/>
          </m:rPr>
          <m:t>T</m:t>
        </m:r>
        <m:r>
          <m:rPr>
            <m:sty m:val="p"/>
          </m:rPr>
          <m:t>/</m:t>
        </m:r>
        <m:r>
          <m:rPr>
            <m:sty m:val="p"/>
          </m:rPr>
          <m:t>(</m:t>
        </m:r>
        <m:r>
          <m:rPr>
            <m:sty m:val="i"/>
          </m:rPr>
          <m:t>M</m:t>
        </m:r>
        <m:r>
          <m:rPr>
            <m:sty m:val="i"/>
          </m:rPr>
          <m:t>g</m:t>
        </m:r>
        <m:r>
          <m:rPr>
            <m:sty m:val="p"/>
          </m:rPr>
          <m:t>)</m:t>
        </m:r>
      </m:oMath>
      <w:r>
        <w:rPr>
          <w:rFonts w:eastAsia="Georgia" w:cs="Georgia" w:ascii="Georgia" w:hAnsi="Georgia"/>
        </w:rPr>
        <w:t xml:space="preserve">. Représenter graphiquement la dépendance de la fonction </w:t>
      </w:r>
      <m:oMath>
        <m:sSup>
          <m:sSupPr/>
          <m:e>
            <m:r>
              <m:t xml:space="preserve"> </m:t>
            </m:r>
          </m:e>
          <m:sup>
            <m:r>
              <m:rPr>
                <m:sty m:val="p"/>
              </m:rPr>
              <m:t>1</m:t>
            </m:r>
          </m:sup>
        </m:sSup>
        <m:r>
          <m:rPr>
            <m:sty m:val="i"/>
          </m:rPr>
          <m:t>α</m:t>
        </m:r>
        <m:r>
          <m:rPr>
            <m:sty m:val="p"/>
          </m:rPr>
          <m:t>=</m:t>
        </m:r>
        <m:r>
          <m:rPr>
            <m:sty m:val="i"/>
          </m:rPr>
          <m:t>α</m:t>
        </m:r>
        <m:r>
          <m:rPr>
            <m:sty m:val="p"/>
          </m:rPr>
          <m:t>(</m:t>
        </m:r>
        <m:r>
          <m:rPr>
            <m:sty m:val="i"/>
          </m:rPr>
          <m:t>v</m:t>
        </m:r>
        <m:r>
          <m:rPr>
            <m:sty m:val="p"/>
          </m:rPr>
          <m:t>)</m:t>
        </m:r>
      </m:oMath>
      <w:r>
        <w:rPr>
          <w:rFonts w:eastAsia="Georgia" w:cs="Georgia" w:ascii="Georgia" w:hAnsi="Georgia"/>
        </w:rPr>
        <w:t xml:space="preserve"> vis-àvis de la vitesse </w:t>
      </w:r>
      <m:oMath>
        <m:r>
          <m:rPr>
            <m:sty m:val="i"/>
          </m:rPr>
          <m:t>v</m:t>
        </m:r>
      </m:oMath>
      <w:r>
        <w:rPr/>
        <w:t xml:space="preserve">.</w:t>
      </w:r>
    </w:p>
    <w:p>
      <w:pPr>
        <w:numPr>
          <w:ilvl w:val="0"/>
          <w:numId w:val="4"/>
        </w:numPr>
        <w:spacing w:lineRule="auto"/>
      </w:pPr>
      <w:r>
        <w:rPr>
          <w:rFonts w:eastAsia="Georgia" w:cs="Georgia" w:ascii="Georgia" w:hAnsi="Georgia"/>
        </w:rPr>
        <w:t xml:space="preserve">Nous supposons, qu'à l'instant initial, le solide (1) est au repos, </w:t>
      </w:r>
      <m:oMath>
        <m:r>
          <m:rPr>
            <m:sty m:val="i"/>
          </m:rPr>
          <m:t>u</m:t>
        </m:r>
        <m:r>
          <m:rPr>
            <m:sty m:val="p"/>
          </m:rPr>
          <m:t>(</m:t>
        </m:r>
        <m:r>
          <m:rPr>
            <m:sty m:val="i"/>
          </m:rPr>
          <m:t>t</m:t>
        </m:r>
        <m:r>
          <m:rPr>
            <m:sty m:val="p"/>
          </m:rPr>
          <m:t>=</m:t>
        </m:r>
        <m:r>
          <m:rPr>
            <m:sty m:val="p"/>
          </m:rPr>
          <m:t>0</m:t>
        </m:r>
        <m:r>
          <m:rPr>
            <m:sty m:val="p"/>
          </m:rPr>
          <m:t>)</m:t>
        </m:r>
        <m:r>
          <m:rPr>
            <m:sty m:val="p"/>
          </m:rPr>
          <m:t>=</m:t>
        </m:r>
        <m:r>
          <m:rPr>
            <m:sty m:val="p"/>
          </m:rPr>
          <m:t>0</m:t>
        </m:r>
        <m:r>
          <m:rPr>
            <m:sty m:val="p"/>
          </m:rPr>
          <m:t>,</m:t>
        </m:r>
        <m:r>
          <m:rPr>
            <m:sty m:val="i"/>
          </m:rPr>
          <m:t>s</m:t>
        </m:r>
        <m:r>
          <m:rPr>
            <m:sty m:val="p"/>
          </m:rPr>
          <m:t>(</m:t>
        </m:r>
        <m:r>
          <m:rPr>
            <m:sty m:val="i"/>
          </m:rPr>
          <m:t>t</m:t>
        </m:r>
        <m:r>
          <m:rPr>
            <m:sty m:val="p"/>
          </m:rPr>
          <m:t>=</m:t>
        </m:r>
        <m:r>
          <m:rPr>
            <m:sty m:val="p"/>
          </m:rPr>
          <m:t>0</m:t>
        </m:r>
        <m:r>
          <m:rPr>
            <m:sty m:val="p"/>
          </m:rPr>
          <m:t>)</m:t>
        </m:r>
        <m:r>
          <m:rPr>
            <m:sty m:val="p"/>
          </m:rPr>
          <m:t>=</m:t>
        </m:r>
        <m:r>
          <m:rPr>
            <m:sty m:val="i"/>
          </m:rPr>
          <m:t>a</m:t>
        </m:r>
      </m:oMath>
      <w:r>
        <w:rPr>
          <w:rFonts w:eastAsia="Georgia" w:cs="Georgia" w:ascii="Georgia" w:hAnsi="Georgia"/>
        </w:rPr>
        <w:t xml:space="preserve"> (ressort sans tension) et que la vitesse de l'élément (3) passe "instantanément" de la valeur nulle à une valeur </w:t>
      </w:r>
      <m:oMath>
        <m:sSub>
          <m:sSubPr/>
          <m:e>
            <m:r>
              <m:rPr>
                <m:sty m:val="i"/>
              </m:rPr>
              <m:t>V</m:t>
            </m:r>
          </m:e>
          <m:sub>
            <m:r>
              <m:rPr>
                <m:sty m:val="p"/>
              </m:rPr>
              <m:t>B</m:t>
            </m:r>
          </m:sub>
        </m:sSub>
      </m:oMath>
      <w:r>
        <w:rPr>
          <w:rFonts w:eastAsia="Georgia" w:cs="Georgia" w:ascii="Georgia" w:hAnsi="Georgia"/>
        </w:rPr>
        <w:t xml:space="preserve"> constante fixée.</w:t>
      </w:r>
    </w:p>
    <w:p>
      <w:pPr>
        <w:numPr>
          <w:ilvl w:val="0"/>
          <w:numId w:val="5"/>
        </w:numPr>
        <w:spacing w:lineRule="auto"/>
      </w:pPr>
      <w:r>
        <w:rPr>
          <w:rFonts w:eastAsia="Georgia" w:cs="Georgia" w:ascii="Georgia" w:hAnsi="Georgia"/>
        </w:rPr>
        <w:t xml:space="preserve">Écrire, dans le cas général, le principe fondamental de la dynamique appliqué au solide (1). Établir qu'il conduit à l'équation différentielle suivante (pour les conditions initiales choisies) :</w:t>
      </w:r>
    </w:p>
    <w:p>
      <w:pPr>
        <w:spacing w:after="220" w:lineRule="auto"/>
      </w:pPr>
      <m:oMathPara>
        <m:oMath>
          <m:acc>
            <m:accPr>
              <m:chr m:val="¨"/>
            </m:accPr>
            <m:e>
              <m:r>
                <m:rPr>
                  <m:sty m:val="i"/>
                </m:rPr>
                <m:t>u</m:t>
              </m:r>
            </m:e>
          </m:acc>
          <m:r>
            <m:rPr>
              <m:sty m:val="p"/>
            </m:rPr>
            <m:t>+</m:t>
          </m:r>
          <m:sSubSup>
            <m:sSubSupPr/>
            <m:e>
              <m:r>
                <m:rPr>
                  <m:sty m:val="i"/>
                </m:rPr>
                <m:t>ω</m:t>
              </m:r>
            </m:e>
            <m:sub>
              <m:r>
                <m:rPr>
                  <m:sty m:val="p"/>
                </m:rPr>
                <m:t>0</m:t>
              </m:r>
            </m:sub>
            <m:sup>
              <m:r>
                <m:rPr>
                  <m:sty m:val="p"/>
                </m:rPr>
                <m:t>2</m:t>
              </m:r>
            </m:sup>
          </m:sSubSup>
          <m:r>
            <m:rPr>
              <m:sty m:val="i"/>
            </m:rPr>
            <m:t>u</m:t>
          </m:r>
          <m:r>
            <m:rPr>
              <m:sty m:val="p"/>
            </m:rPr>
            <m:t>=</m:t>
          </m:r>
          <m:r>
            <m:rPr>
              <m:sty m:val="i"/>
            </m:rPr>
            <m:t>α</m:t>
          </m:r>
          <m:r>
            <m:rPr>
              <m:sty m:val="i"/>
            </m:rPr>
            <m:t>g</m:t>
          </m:r>
          <m:r>
            <m:rPr>
              <m:sty m:val="p"/>
            </m:rPr>
            <m:t>+</m:t>
          </m:r>
          <m:sSubSup>
            <m:sSubSupPr/>
            <m:e>
              <m:r>
                <m:rPr>
                  <m:sty m:val="i"/>
                </m:rPr>
                <m:t>ω</m:t>
              </m:r>
            </m:e>
            <m:sub>
              <m:r>
                <m:rPr>
                  <m:sty m:val="p"/>
                </m:rPr>
                <m:t>0</m:t>
              </m:r>
            </m:sub>
            <m:sup>
              <m:r>
                <m:rPr>
                  <m:sty m:val="p"/>
                </m:rPr>
                <m:t>2</m:t>
              </m:r>
            </m:sup>
          </m:sSubSup>
          <m:sSub>
            <m:sSubPr/>
            <m:e>
              <m:r>
                <m:rPr>
                  <m:sty m:val="i"/>
                </m:rPr>
                <m:t>V</m:t>
              </m:r>
            </m:e>
            <m:sub>
              <m:r>
                <m:rPr>
                  <m:sty m:val="p"/>
                </m:rPr>
                <m:t>B</m:t>
              </m:r>
            </m:sub>
          </m:sSub>
          <m:r>
            <m:rPr>
              <m:sty m:val="i"/>
            </m:rPr>
            <m:t>t</m:t>
          </m:r>
          <m:r>
            <m:rPr>
              <m:sty m:val="p"/>
            </m:rPr>
            <m:t xml:space="preserve"> </m:t>
          </m:r>
          <m:d>
            <m:dPr>
              <m:begChr m:val="("/>
              <m:endChr m:val=")"/>
              <m:ctrlPr>
                <w:rPr>
                  <w:rFonts w:ascii="Cambria Math" w:hAnsi="Cambria Math"/>
                </w:rPr>
              </m:ctrlPr>
            </m:dPr>
            <m:e>
              <m:r>
                <m:rPr>
                  <m:nor/>
                </m:rPr>
                <m:t> en adoptant la notation </m:t>
              </m:r>
              <m:r>
                <m:rPr>
                  <m:sty m:val="p"/>
                </m:rPr>
                <m:t xml:space="preserve"> </m:t>
              </m:r>
              <m:acc>
                <m:accPr>
                  <m:chr m:val="¨"/>
                </m:accPr>
                <m:e>
                  <m:r>
                    <m:rPr>
                      <m:sty m:val="i"/>
                    </m:rPr>
                    <m:t>u</m:t>
                  </m:r>
                </m:e>
              </m:acc>
              <m:r>
                <m:rPr>
                  <m:sty m:val="p"/>
                </m:rPr>
                <m:t>=</m:t>
              </m:r>
              <m:sSup>
                <m:sSupPr/>
                <m:e>
                  <m:r>
                    <m:rPr>
                      <m:sty m:val="p"/>
                    </m:rPr>
                    <m:t>d</m:t>
                  </m:r>
                </m:e>
                <m:sup>
                  <m:r>
                    <m:rPr>
                      <m:sty m:val="p"/>
                    </m:rPr>
                    <m:t>2</m:t>
                  </m:r>
                </m:sup>
              </m:sSup>
              <m:r>
                <m:rPr>
                  <m:sty m:val="i"/>
                </m:rPr>
                <m:t>u</m:t>
              </m:r>
              <m:r>
                <m:rPr>
                  <m:sty m:val="p"/>
                </m:rPr>
                <m:t>/</m:t>
              </m:r>
              <m:r>
                <m:rPr>
                  <m:sty m:val="p"/>
                </m:rPr>
                <m:t>d</m:t>
              </m:r>
              <m:sSup>
                <m:sSupPr/>
                <m:e>
                  <m:r>
                    <m:rPr>
                      <m:sty m:val="i"/>
                    </m:rPr>
                    <m:t>t</m:t>
                  </m:r>
                </m:e>
                <m:sup>
                  <m:r>
                    <m:rPr>
                      <m:sty m:val="p"/>
                    </m:rPr>
                    <m:t>2</m:t>
                  </m:r>
                </m:sup>
              </m:sSup>
            </m:e>
          </m:d>
        </m:oMath>
      </m:oMathPara>
    </w:p>
    <w:p>
      <w:pPr>
        <w:spacing w:after="220" w:lineRule="auto"/>
      </w:pPr>
      <w:r>
        <w:rPr>
          <w:rFonts w:eastAsia="Georgia" w:cs="Georgia" w:ascii="Georgia" w:hAnsi="Georgia"/>
        </w:rPr>
        <w:t xml:space="preserve">où </w:t>
      </w:r>
      <m:oMath>
        <m:sSub>
          <m:sSubPr/>
          <m:e>
            <m:r>
              <m:rPr>
                <m:sty m:val="i"/>
              </m:rPr>
              <m:t>ω</m:t>
            </m:r>
          </m:e>
          <m:sub>
            <m:r>
              <m:rPr>
                <m:sty m:val="p"/>
              </m:rPr>
              <m:t>0</m:t>
            </m:r>
          </m:sub>
        </m:sSub>
        <m:d>
          <m:dPr>
            <m:begChr m:val="("/>
            <m:endChr m:val=")"/>
            <m:ctrlPr>
              <w:rPr>
                <w:rFonts w:ascii="Cambria Math" w:hAnsi="Cambria Math"/>
              </w:rPr>
            </m:ctrlPr>
          </m:dPr>
          <m:e>
            <m:sSub>
              <m:sSubPr/>
              <m:e>
                <m:r>
                  <m:rPr>
                    <m:sty m:val="i"/>
                  </m:rPr>
                  <m:t>ω</m:t>
                </m:r>
              </m:e>
              <m:sub>
                <m:r>
                  <m:rPr>
                    <m:sty m:val="p"/>
                  </m:rPr>
                  <m:t>0</m:t>
                </m:r>
              </m:sub>
            </m:sSub>
            <m:r>
              <m:rPr>
                <m:sty m:val="p"/>
              </m:rPr>
              <m:t>≥</m:t>
            </m:r>
            <m:r>
              <m:rPr>
                <m:sty m:val="p"/>
              </m:rPr>
              <m:t>0</m:t>
            </m:r>
          </m:e>
        </m:d>
      </m:oMath>
      <w:r>
        <w:rPr>
          <w:rFonts w:eastAsia="Georgia" w:cs="Georgia" w:ascii="Georgia" w:hAnsi="Georgia"/>
        </w:rPr>
        <w:t xml:space="preserve"> est un paramètre dont on donnera l'expression.</w:t>
      </w:r>
    </w:p>
    <w:p>
      <w:pPr>
        <w:spacing w:line="271" w:before="330" w:lineRule="auto"/>
      </w:pPr>
      <w:r>
        <w:rPr>
          <w:rFonts w:eastAsia="Georgia" w:cs="Georgia" w:ascii="Georgia" w:hAnsi="Georgia"/>
          <w:b/>
          <w:sz w:val="42"/>
        </w:rPr>
        <w:t xml:space="preserve">5. Commenter brièvement l'équation différentielle (1)</w:t>
      </w:r>
    </w:p>
    <w:p>
      <w:pPr>
        <w:numPr>
          <w:ilvl w:val="0"/>
          <w:numId w:val="6"/>
        </w:numPr>
        <w:spacing w:lineRule="auto"/>
      </w:pPr>
      <w:r>
        <w:rPr>
          <w:rFonts w:eastAsia="Georgia" w:cs="Georgia" w:ascii="Georgia" w:hAnsi="Georgia"/>
        </w:rPr>
        <w:t xml:space="preserve">Nous effectuons le changement de variables et introduisons le paramètre </w:t>
      </w:r>
      <m:oMath>
        <m:sSub>
          <m:sSubPr/>
          <m:e>
            <m:r>
              <m:rPr>
                <m:sty m:val="i"/>
              </m:rPr>
              <m:t>W</m:t>
            </m:r>
          </m:e>
          <m:sub>
            <m:r>
              <m:rPr>
                <m:sty m:val="p"/>
              </m:rPr>
              <m:t>B</m:t>
            </m:r>
          </m:sub>
        </m:sSub>
      </m:oMath>
      <w:r>
        <w:rPr>
          <w:rFonts w:eastAsia="Georgia" w:cs="Georgia" w:ascii="Georgia" w:hAnsi="Georgia"/>
        </w:rPr>
        <w:t xml:space="preserve">, définis par les relations suivantes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θ</m:t>
                    </m:r>
                    <m:r>
                      <m:rPr>
                        <m:sty m:val="p"/>
                      </m:rPr>
                      <m:t>=</m:t>
                    </m:r>
                    <m:sSub>
                      <m:sSubPr/>
                      <m:e>
                        <m:r>
                          <m:rPr>
                            <m:sty m:val="i"/>
                          </m:rPr>
                          <m:t>ω</m:t>
                        </m:r>
                      </m:e>
                      <m:sub>
                        <m:r>
                          <m:rPr>
                            <m:sty m:val="p"/>
                          </m:rPr>
                          <m:t>0</m:t>
                        </m:r>
                      </m:sub>
                    </m:sSub>
                    <m:r>
                      <m:rPr>
                        <m:sty m:val="i"/>
                      </m:rPr>
                      <m:t>t</m:t>
                    </m:r>
                    <m:r>
                      <m:rPr>
                        <m:sty m:val="p"/>
                      </m:rPr>
                      <m:t xml:space="preserve"> </m:t>
                    </m:r>
                    <m:r>
                      <m:rPr>
                        <m:sty m:val="p"/>
                      </m:rPr>
                      <m:t>(</m:t>
                    </m:r>
                    <m:r>
                      <m:rPr>
                        <m:nor/>
                      </m:rPr>
                      <m:t> variable que nous appellerons "angle") </m:t>
                    </m:r>
                  </m:e>
                </m:mr>
                <m:mr>
                  <m:e>
                    <m:r>
                      <m:rPr>
                        <m:sty m:val="i"/>
                      </m:rPr>
                      <m:t>u</m:t>
                    </m:r>
                    <m:r>
                      <m:rPr>
                        <m:sty m:val="p"/>
                      </m:rPr>
                      <m:t>(</m:t>
                    </m:r>
                    <m:r>
                      <m:rPr>
                        <m:sty m:val="i"/>
                      </m:rPr>
                      <m:t>t</m:t>
                    </m:r>
                    <m:r>
                      <m:rPr>
                        <m:sty m:val="p"/>
                      </m:rPr>
                      <m:t>)</m:t>
                    </m:r>
                    <m:r>
                      <m:rPr>
                        <m:sty m:val="p"/>
                      </m:rPr>
                      <m:t>=</m:t>
                    </m:r>
                    <m:f>
                      <m:fPr>
                        <m:ctrlPr>
                          <w:rPr>
                            <w:rFonts w:ascii="Cambria Math" w:hAnsi="Cambria Math"/>
                          </w:rPr>
                        </m:ctrlPr>
                      </m:fPr>
                      <m:num>
                        <m:r>
                          <m:rPr>
                            <m:sty m:val="i"/>
                          </m:rPr>
                          <m:t>g</m:t>
                        </m:r>
                      </m:num>
                      <m:den>
                        <m:sSubSup>
                          <m:sSubSupPr/>
                          <m:e>
                            <m:r>
                              <m:rPr>
                                <m:sty m:val="i"/>
                              </m:rPr>
                              <m:t>ω</m:t>
                            </m:r>
                          </m:e>
                          <m:sub>
                            <m:r>
                              <m:rPr>
                                <m:sty m:val="p"/>
                              </m:rPr>
                              <m:t>0</m:t>
                            </m:r>
                          </m:sub>
                          <m:sup>
                            <m:r>
                              <m:rPr>
                                <m:sty m:val="p"/>
                              </m:rPr>
                              <m:t>2</m:t>
                            </m:r>
                          </m:sup>
                        </m:sSubSup>
                      </m:den>
                    </m:f>
                    <m:r>
                      <m:rPr>
                        <m:sty m:val="i"/>
                      </m:rPr>
                      <m:t>U</m:t>
                    </m:r>
                    <m:r>
                      <m:rPr>
                        <m:sty m:val="p"/>
                      </m:rPr>
                      <m:t>(</m:t>
                    </m:r>
                    <m:r>
                      <m:rPr>
                        <m:sty m:val="i"/>
                      </m:rPr>
                      <m:t>θ</m:t>
                    </m:r>
                    <m:r>
                      <m:rPr>
                        <m:sty m:val="p"/>
                      </m:rPr>
                      <m:t>)</m:t>
                    </m:r>
                  </m:e>
                </m:mr>
                <m:mr>
                  <m:e>
                    <m:sSub>
                      <m:sSubPr/>
                      <m:e>
                        <m:r>
                          <m:rPr>
                            <m:sty m:val="i"/>
                          </m:rPr>
                          <m:t>W</m:t>
                        </m:r>
                      </m:e>
                      <m:sub>
                        <m:r>
                          <m:rPr>
                            <m:sty m:val="p"/>
                          </m:rPr>
                          <m:t>B</m:t>
                        </m:r>
                      </m:sub>
                    </m:sSub>
                    <m:r>
                      <m:rPr>
                        <m:sty m:val="p"/>
                      </m:rPr>
                      <m:t>=</m:t>
                    </m:r>
                    <m:sSub>
                      <m:sSubPr/>
                      <m:e>
                        <m:r>
                          <m:rPr>
                            <m:sty m:val="i"/>
                          </m:rPr>
                          <m:t>ω</m:t>
                        </m:r>
                      </m:e>
                      <m:sub>
                        <m:r>
                          <m:rPr>
                            <m:sty m:val="p"/>
                          </m:rPr>
                          <m:t>0</m:t>
                        </m:r>
                      </m:sub>
                    </m:sSub>
                    <m:sSub>
                      <m:sSubPr/>
                      <m:e>
                        <m:r>
                          <m:rPr>
                            <m:sty m:val="i"/>
                          </m:rPr>
                          <m:t>V</m:t>
                        </m:r>
                      </m:e>
                      <m:sub>
                        <m:r>
                          <m:rPr>
                            <m:sty m:val="p"/>
                          </m:rPr>
                          <m:t>B</m:t>
                        </m:r>
                      </m:sub>
                    </m:sSub>
                    <m:r>
                      <m:rPr>
                        <m:sty m:val="p"/>
                      </m:rPr>
                      <m:t>/</m:t>
                    </m:r>
                    <m:r>
                      <m:rPr>
                        <m:sty m:val="i"/>
                      </m:rPr>
                      <m:t>g</m:t>
                    </m:r>
                  </m:e>
                </m:mr>
              </m:m>
            </m:e>
          </m:d>
        </m:oMath>
      </m:oMathPara>
    </w:p>
    <w:p>
      <w:pPr>
        <w:spacing w:after="220" w:lineRule="auto"/>
      </w:pPr>
      <w:r>
        <w:rPr/>
        <w:t xml:space="preserve">Par ailleurs, nous noterons simplement </w:t>
      </w:r>
      <m:oMath>
        <m:sSup>
          <m:sSupPr/>
          <m:e>
            <m:r>
              <m:rPr>
                <m:sty m:val="i"/>
              </m:rPr>
              <m:t>U</m:t>
            </m:r>
          </m:e>
          <m:sup>
            <m:r>
              <m:rPr>
                <m:sty m:val="i"/>
              </m:rPr>
              <m:t>′</m:t>
            </m:r>
          </m:sup>
        </m:sSup>
      </m:oMath>
      <w:r>
        <w:rPr/>
        <w:t xml:space="preserve"> et </w:t>
      </w:r>
      <m:oMath>
        <m:sSup>
          <m:sSupPr/>
          <m:e>
            <m:r>
              <m:rPr>
                <m:sty m:val="i"/>
              </m:rPr>
              <m:t>U</m:t>
            </m:r>
          </m:e>
          <m:sup>
            <m:r>
              <m:rPr>
                <m:sty m:val="i"/>
              </m:rPr>
              <m:t>′</m:t>
            </m:r>
            <m:r>
              <m:rPr>
                <m:sty m:val="i"/>
              </m:rPr>
              <m:t>′</m:t>
            </m:r>
          </m:sup>
        </m:sSup>
      </m:oMath>
      <w:r>
        <w:rPr>
          <w:rFonts w:eastAsia="Georgia" w:cs="Georgia" w:ascii="Georgia" w:hAnsi="Georgia"/>
        </w:rPr>
        <w:t xml:space="preserve"> les dérivées première et deuxième de la fonction </w:t>
      </w:r>
      <m:oMath>
        <m:r>
          <m:rPr>
            <m:sty m:val="i"/>
          </m:rPr>
          <m:t>U</m:t>
        </m:r>
      </m:oMath>
      <w:r>
        <w:rPr>
          <w:rFonts w:eastAsia="Georgia" w:cs="Georgia" w:ascii="Georgia" w:hAnsi="Georgia"/>
        </w:rPr>
        <w:t xml:space="preserve">, par rapport à </w:t>
      </w:r>
      <m:oMath>
        <m:r>
          <m:rPr>
            <m:sty m:val="i"/>
          </m:rPr>
          <m:t>θ</m:t>
        </m:r>
      </m:oMath>
      <w:r>
        <w:rPr/>
        <w:t xml:space="preserve">.</w:t>
      </w:r>
      <w:r>
        <w:rPr/>
        <w:br w:type="textWrapping"/>
      </w:r>
      <w:r>
        <w:rPr>
          <w:rFonts w:eastAsia="Georgia" w:cs="Georgia" w:ascii="Georgia" w:hAnsi="Georgia"/>
        </w:rPr>
        <w:t xml:space="preserve">6. Écrire l'équation différentielle vérifiée par la fonction </w:t>
      </w:r>
      <m:oMath>
        <m:r>
          <m:rPr>
            <m:sty m:val="i"/>
          </m:rPr>
          <m:t>U</m:t>
        </m:r>
      </m:oMath>
      <w:r>
        <w:rPr>
          <w:rFonts w:eastAsia="Georgia" w:cs="Georgia" w:ascii="Georgia" w:hAnsi="Georgia"/>
        </w:rPr>
        <w:t xml:space="preserve">. On y fera apparaître le paramètre </w:t>
      </w:r>
      <m:oMath>
        <m:sSub>
          <m:sSubPr/>
          <m:e>
            <m:r>
              <m:rPr>
                <m:sty m:val="i"/>
              </m:rPr>
              <m:t>W</m:t>
            </m:r>
          </m:e>
          <m:sub>
            <m:r>
              <m:rPr>
                <m:sty m:val="p"/>
              </m:rPr>
              <m:t>B</m:t>
            </m:r>
          </m:sub>
        </m:sSub>
      </m:oMath>
      <w:r>
        <w:rPr/>
        <w:t xml:space="preserve">.</w:t>
      </w:r>
    </w:p>
    <w:p>
      <w:pPr>
        <w:spacing w:lineRule="auto"/>
      </w:pPr>
      <w:r>
        <w:rPr/>
        <w:t xml:space="preserve">7. Exprimer l'angle </w:t>
      </w:r>
      <m:oMath>
        <m:sSub>
          <m:sSubPr/>
          <m:e>
            <m:r>
              <m:rPr>
                <m:sty m:val="i"/>
              </m:rPr>
              <m:t>θ</m:t>
            </m:r>
          </m:e>
          <m:sub>
            <m:r>
              <m:rPr>
                <m:sty m:val="p"/>
              </m:rPr>
              <m:t>1</m:t>
            </m:r>
          </m:sub>
        </m:sSub>
      </m:oMath>
      <w:r>
        <w:rPr>
          <w:rFonts w:eastAsia="Georgia" w:cs="Georgia" w:ascii="Georgia" w:hAnsi="Georgia"/>
        </w:rPr>
        <w:t xml:space="preserve"> à partir duquel le glissement du solide (1) apparaît.</w:t>
      </w:r>
      <w:r>
        <w:rPr/>
        <w:br w:type="textWrapping"/>
      </w:r>
      <w:r>
        <w:rPr>
          <w:rFonts w:eastAsia="Georgia" w:cs="Georgia" w:ascii="Georgia" w:hAnsi="Georgia"/>
        </w:rPr>
        <w:t xml:space="preserve">8. Nous nous plaçons sur l'intervalle angulaire </w:t>
      </w:r>
      <m:oMath>
        <m:sSub>
          <m:sSubPr/>
          <m:e>
            <m:r>
              <m:rPr>
                <m:sty m:val="p"/>
              </m:rPr>
              <m:t>I</m:t>
            </m:r>
          </m:e>
          <m:sub>
            <m:r>
              <m:rPr>
                <m:sty m:val="p"/>
              </m:rPr>
              <m:t>2</m:t>
            </m:r>
          </m:sub>
        </m:sSub>
        <m:r>
          <m:rPr>
            <m:sty m:val="p"/>
          </m:rPr>
          <m:t>=</m:t>
        </m:r>
        <m:d>
          <m:dPr>
            <m:begChr m:val="["/>
            <m:endChr m:val="]"/>
            <m:ctrlPr>
              <w:rPr>
                <w:rFonts w:ascii="Cambria Math" w:hAnsi="Cambria Math"/>
              </w:rPr>
            </m:ctrlPr>
          </m:dPr>
          <m:e>
            <m:sSub>
              <m:sSubPr/>
              <m:e>
                <m:r>
                  <m:rPr>
                    <m:sty m:val="i"/>
                  </m:rPr>
                  <m:t>θ</m:t>
                </m:r>
              </m:e>
              <m:sub>
                <m:r>
                  <m:rPr>
                    <m:sty m:val="p"/>
                  </m:rPr>
                  <m:t>1</m:t>
                </m:r>
              </m:sub>
            </m:sSub>
            <m:r>
              <m:rPr>
                <m:sty m:val="p"/>
              </m:rPr>
              <m:t>,</m:t>
            </m:r>
            <m:sSub>
              <m:sSubPr/>
              <m:e>
                <m:r>
                  <m:rPr>
                    <m:sty m:val="i"/>
                  </m:rPr>
                  <m:t>θ</m:t>
                </m:r>
              </m:e>
              <m:sub>
                <m:r>
                  <m:rPr>
                    <m:sty m:val="p"/>
                  </m:rPr>
                  <m:t>2</m:t>
                </m:r>
              </m:sub>
            </m:sSub>
          </m:e>
        </m:d>
      </m:oMath>
      <w:r>
        <w:rPr>
          <w:rFonts w:eastAsia="Georgia" w:cs="Georgia" w:ascii="Georgia" w:hAnsi="Georgia"/>
        </w:rPr>
        <w:t xml:space="preserve"> qui correspond à la phase 2 du mouvement, phase durant laquelle le solide (1) glisse sur la surface (0). </w:t>
      </w:r>
      <m:oMath>
        <m:sSub>
          <m:sSubPr/>
          <m:e>
            <m:r>
              <m:rPr>
                <m:sty m:val="i"/>
              </m:rPr>
              <m:t>θ</m:t>
            </m:r>
          </m:e>
          <m:sub>
            <m:r>
              <m:rPr>
                <m:sty m:val="p"/>
              </m:rPr>
              <m:t>2</m:t>
            </m:r>
          </m:sub>
        </m:sSub>
      </m:oMath>
      <w:r>
        <w:rPr>
          <w:rFonts w:eastAsia="Georgia" w:cs="Georgia" w:ascii="Georgia" w:hAnsi="Georgia"/>
        </w:rPr>
        <w:t xml:space="preserve"> est l'angle pour lequel le glissement du solide s'interrompt. Sur cet intervalle, nous définissons la fonction </w:t>
      </w:r>
      <m:oMath>
        <m:r>
          <m:rPr>
            <m:sty m:val="i"/>
          </m:rPr>
          <m:t>F</m:t>
        </m:r>
      </m:oMath>
      <w:r>
        <w:rPr/>
        <w:t xml:space="preserve"> telle que </w:t>
      </w:r>
      <m:oMath>
        <m:r>
          <m:rPr>
            <m:sty m:val="i"/>
          </m:rPr>
          <m:t>F</m:t>
        </m:r>
        <m:r>
          <m:rPr>
            <m:sty m:val="p"/>
          </m:rPr>
          <m:t>(</m:t>
        </m:r>
        <m:r>
          <m:rPr>
            <m:sty m:val="i"/>
          </m:rPr>
          <m:t>ϕ</m:t>
        </m:r>
        <m:r>
          <m:rPr>
            <m:sty m:val="p"/>
          </m:rPr>
          <m:t>)</m:t>
        </m:r>
        <m:r>
          <m:rPr>
            <m:sty m:val="p"/>
          </m:rPr>
          <m:t>=</m:t>
        </m:r>
        <m:r>
          <m:rPr>
            <m:sty m:val="i"/>
          </m:rPr>
          <m:t>U</m:t>
        </m:r>
        <m:r>
          <m:rPr>
            <m:sty m:val="p"/>
          </m:rPr>
          <m:t>(</m:t>
        </m:r>
        <m:r>
          <m:rPr>
            <m:sty m:val="i"/>
          </m:rPr>
          <m:t>θ</m:t>
        </m:r>
        <m:r>
          <m:rPr>
            <m:sty m:val="p"/>
          </m:rPr>
          <m:t>)</m:t>
        </m:r>
      </m:oMath>
      <w:r>
        <w:rPr>
          <w:rFonts w:eastAsia="Georgia" w:cs="Georgia" w:ascii="Georgia" w:hAnsi="Georgia"/>
        </w:rPr>
        <w:t xml:space="preserve"> où </w:t>
      </w:r>
      <m:oMath>
        <m:r>
          <m:rPr>
            <m:sty m:val="i"/>
          </m:rPr>
          <m:t>ϕ</m:t>
        </m:r>
        <m:r>
          <m:rPr>
            <m:sty m:val="p"/>
          </m:rPr>
          <m:t>=</m:t>
        </m:r>
        <m:r>
          <m:rPr>
            <m:sty m:val="i"/>
          </m:rPr>
          <m:t>θ</m:t>
        </m:r>
        <m:r>
          <m:rPr>
            <m:sty m:val="p"/>
          </m:rPr>
          <m:t>−</m:t>
        </m:r>
        <m:sSub>
          <m:sSubPr/>
          <m:e>
            <m:r>
              <m:rPr>
                <m:sty m:val="i"/>
              </m:rPr>
              <m:t>θ</m:t>
            </m:r>
          </m:e>
          <m:sub>
            <m:r>
              <m:rPr>
                <m:sty m:val="p"/>
              </m:rPr>
              <m:t>1</m:t>
            </m:r>
          </m:sub>
        </m:sSub>
      </m:oMath>
      <w:r>
        <w:rPr/>
        <w:t xml:space="preserve">. Par ailleurs, nous posons </w:t>
      </w:r>
      <m:oMath>
        <m:r>
          <m:rPr>
            <m:sty m:val="i"/>
          </m:rPr>
          <m:t>δ</m:t>
        </m:r>
        <m:r>
          <m:rPr>
            <m:sty m:val="p"/>
          </m:rPr>
          <m:t>=</m:t>
        </m:r>
        <m:sSub>
          <m:sSubPr/>
          <m:e>
            <m:r>
              <m:rPr>
                <m:sty m:val="i"/>
              </m:rPr>
              <m:t>f</m:t>
            </m:r>
          </m:e>
          <m:sub>
            <m:r>
              <m:rPr>
                <m:sty m:val="p"/>
              </m:rPr>
              <m:t>s</m:t>
            </m:r>
          </m:sub>
        </m:sSub>
        <m:r>
          <m:rPr>
            <m:sty m:val="p"/>
          </m:rPr>
          <m:t>−</m:t>
        </m:r>
        <m:sSub>
          <m:sSubPr/>
          <m:e>
            <m:r>
              <m:rPr>
                <m:sty m:val="i"/>
              </m:rPr>
              <m:t>f</m:t>
            </m:r>
          </m:e>
          <m:sub>
            <m:r>
              <m:rPr>
                <m:sty m:val="p"/>
              </m:rPr>
              <m:t>d</m:t>
            </m:r>
          </m:sub>
        </m:sSub>
        <m:r>
          <m:rPr>
            <m:sty m:val="p"/>
          </m:rPr>
          <m:t>(</m:t>
        </m:r>
        <m:r>
          <m:rPr>
            <m:sty m:val="i"/>
          </m:rPr>
          <m:t>δ</m:t>
        </m:r>
        <m:r>
          <m:rPr>
            <m:sty m:val="p"/>
          </m:rPr>
          <m:t>&gt;</m:t>
        </m:r>
        <m:r>
          <m:rPr>
            <m:sty m:val="p"/>
          </m:rPr>
          <m:t>0</m:t>
        </m:r>
        <m:r>
          <m:rPr>
            <m:sty m:val="p"/>
          </m:rPr>
          <m:t>)</m:t>
        </m:r>
      </m:oMath>
      <w:r>
        <w:rPr/>
        <w:t xml:space="preserve"> et </w:t>
      </w:r>
      <m:oMath>
        <m:r>
          <m:rPr>
            <m:sty m:val="i"/>
          </m:rPr>
          <m:t>r</m:t>
        </m:r>
        <m:r>
          <m:rPr>
            <m:sty m:val="p"/>
          </m:rPr>
          <m:t>=</m:t>
        </m:r>
        <m:r>
          <m:rPr>
            <m:sty m:val="i"/>
          </m:rPr>
          <m:t>δ</m:t>
        </m:r>
        <m:r>
          <m:rPr>
            <m:sty m:val="p"/>
          </m:rPr>
          <m:t>/</m:t>
        </m:r>
        <m:sSub>
          <m:sSubPr/>
          <m:e>
            <m:r>
              <m:rPr>
                <m:sty m:val="i"/>
              </m:rPr>
              <m:t>W</m:t>
            </m:r>
          </m:e>
          <m:sub>
            <m:r>
              <m:rPr>
                <m:sty m:val="p"/>
              </m:rPr>
              <m:t>B</m:t>
            </m:r>
          </m:sub>
        </m:sSub>
      </m:oMath>
      <w:r>
        <w:rPr/>
        <w:t xml:space="preserve">.</w:t>
      </w:r>
    </w:p>
    <w:p>
      <w:pPr>
        <w:spacing w:after="220" w:lineRule="auto"/>
      </w:pPr>
      <w:r>
        <w:rPr>
          <w:rFonts w:eastAsia="Georgia" w:cs="Georgia" w:ascii="Georgia" w:hAnsi="Georgia"/>
        </w:rPr>
        <w:t xml:space="preserve">Établir l'équation différentielle vérifiée par la fonction </w:t>
      </w:r>
      <m:oMath>
        <m:r>
          <m:rPr>
            <m:sty m:val="i"/>
          </m:rPr>
          <m:t>F</m:t>
        </m:r>
        <m:r>
          <m:rPr>
            <m:sty m:val="p"/>
          </m:rPr>
          <m:t>=</m:t>
        </m:r>
        <m:r>
          <m:rPr>
            <m:sty m:val="i"/>
          </m:rPr>
          <m:t>F</m:t>
        </m:r>
        <m:r>
          <m:rPr>
            <m:sty m:val="p"/>
          </m:rPr>
          <m:t>(</m:t>
        </m:r>
        <m:r>
          <m:rPr>
            <m:sty m:val="i"/>
          </m:rPr>
          <m:t>ϕ</m:t>
        </m:r>
        <m:r>
          <m:rPr>
            <m:sty m:val="p"/>
          </m:rPr>
          <m:t>)</m:t>
        </m:r>
      </m:oMath>
      <w:r>
        <w:rPr>
          <w:rFonts w:eastAsia="Georgia" w:cs="Georgia" w:ascii="Georgia" w:hAnsi="Georgia"/>
        </w:rPr>
        <w:t xml:space="preserve">. Exprimer cette fonction. On ne fera intervenir que les paramètres </w:t>
      </w:r>
      <m:oMath>
        <m:sSub>
          <m:sSubPr/>
          <m:e>
            <m:r>
              <m:rPr>
                <m:sty m:val="i"/>
              </m:rPr>
              <m:t>W</m:t>
            </m:r>
          </m:e>
          <m:sub>
            <m:r>
              <m:rPr>
                <m:sty m:val="p"/>
              </m:rPr>
              <m:t>B</m:t>
            </m:r>
          </m:sub>
        </m:sSub>
      </m:oMath>
      <w:r>
        <w:rPr/>
        <w:t xml:space="preserve"> et </w:t>
      </w:r>
      <m:oMath>
        <m:r>
          <m:rPr>
            <m:sty m:val="i"/>
          </m:rPr>
          <m:t>δ</m:t>
        </m:r>
      </m:oMath>
      <w:r>
        <w:rPr/>
        <w:t xml:space="preserve">.</w:t>
      </w:r>
    </w:p>
    <w:p>
      <w:pPr>
        <w:numPr>
          <w:ilvl w:val="0"/>
          <w:numId w:val="7"/>
        </w:numPr>
        <w:spacing w:lineRule="auto"/>
      </w:pPr>
      <w:r>
        <w:rPr/>
        <w:t xml:space="preserve">Indication : On remarquera que, sur l'intervalle </w:t>
      </w:r>
      <m:oMath>
        <m:sSub>
          <m:sSubPr/>
          <m:e>
            <m:r>
              <m:rPr>
                <m:sty m:val="i"/>
              </m:rPr>
              <m:t>I</m:t>
            </m:r>
          </m:e>
          <m:sub>
            <m:r>
              <m:rPr>
                <m:sty m:val="p"/>
              </m:rPr>
              <m:t>2</m:t>
            </m:r>
          </m:sub>
        </m:sSub>
      </m:oMath>
      <w:r>
        <w:rPr>
          <w:rFonts w:eastAsia="Georgia" w:cs="Georgia" w:ascii="Georgia" w:hAnsi="Georgia"/>
        </w:rPr>
        <w:t xml:space="preserve">, l'équation différentielle vérifiée par la fonction </w:t>
      </w:r>
      <m:oMath>
        <m:r>
          <m:rPr>
            <m:sty m:val="i"/>
          </m:rPr>
          <m:t>F</m:t>
        </m:r>
      </m:oMath>
      <w:r>
        <w:rPr>
          <w:rFonts w:eastAsia="Georgia" w:cs="Georgia" w:ascii="Georgia" w:hAnsi="Georgia"/>
        </w:rPr>
        <w:t xml:space="preserve"> est linéaire (et à coefficients constants). Lors de son intégration, on n'omettra pas de considérer que son second membre dépend de l'angle </w:t>
      </w:r>
      <m:oMath>
        <m:r>
          <m:rPr>
            <m:sty m:val="i"/>
          </m:rPr>
          <m:t>ϕ</m:t>
        </m:r>
      </m:oMath>
      <w:r>
        <w:rPr/>
        <w:t xml:space="preserve">.</w:t>
      </w:r>
    </w:p>
    <w:p>
      <w:pPr>
        <w:numPr>
          <w:ilvl w:val="0"/>
          <w:numId w:val="8"/>
        </w:numPr>
        <w:spacing w:lineRule="auto"/>
      </w:pPr>
      <w:r>
        <w:rPr/>
        <w:t xml:space="preserve">Nous notons </w:t>
      </w:r>
      <m:oMath>
        <m:sSub>
          <m:sSubPr/>
          <m:e>
            <m:r>
              <m:rPr>
                <m:sty m:val="p"/>
              </m:rPr>
              <m:t>Δ</m:t>
            </m:r>
          </m:e>
          <m:sub>
            <m:r>
              <m:rPr>
                <m:sty m:val="p"/>
              </m:rPr>
              <m:t>12</m:t>
            </m:r>
          </m:sub>
        </m:sSub>
        <m:r>
          <m:rPr>
            <m:sty m:val="p"/>
          </m:rPr>
          <m:t>=</m:t>
        </m:r>
        <m:sSub>
          <m:sSubPr/>
          <m:e>
            <m:r>
              <m:rPr>
                <m:sty m:val="i"/>
              </m:rPr>
              <m:t>θ</m:t>
            </m:r>
          </m:e>
          <m:sub>
            <m:r>
              <m:rPr>
                <m:sty m:val="p"/>
              </m:rPr>
              <m:t>2</m:t>
            </m:r>
          </m:sub>
        </m:sSub>
        <m:r>
          <m:rPr>
            <m:sty m:val="p"/>
          </m:rPr>
          <m:t>−</m:t>
        </m:r>
        <m:sSub>
          <m:sSubPr/>
          <m:e>
            <m:r>
              <m:rPr>
                <m:sty m:val="i"/>
              </m:rPr>
              <m:t>θ</m:t>
            </m:r>
          </m:e>
          <m:sub>
            <m:r>
              <m:rPr>
                <m:sty m:val="p"/>
              </m:rPr>
              <m:t>1</m:t>
            </m:r>
          </m:sub>
        </m:sSub>
      </m:oMath>
      <w:r>
        <w:rPr/>
        <w:t xml:space="preserve"> la largeur de l'intervalle angulaire </w:t>
      </w:r>
      <m:oMath>
        <m:sSub>
          <m:sSubPr/>
          <m:e>
            <m:r>
              <m:rPr>
                <m:sty m:val="p"/>
              </m:rPr>
              <m:t>I</m:t>
            </m:r>
          </m:e>
          <m:sub>
            <m:r>
              <m:rPr>
                <m:sty m:val="p"/>
              </m:rPr>
              <m:t>2</m:t>
            </m:r>
          </m:sub>
        </m:sSub>
      </m:oMath>
      <w:r>
        <w:rPr/>
        <w:t xml:space="preserve">. Exprimer </w:t>
      </w:r>
      <m:oMath>
        <m:sSub>
          <m:sSubPr/>
          <m:e>
            <m:r>
              <m:rPr>
                <m:sty m:val="p"/>
              </m:rPr>
              <m:t>Δ</m:t>
            </m:r>
          </m:e>
          <m:sub>
            <m:r>
              <m:rPr>
                <m:sty m:val="p"/>
              </m:rPr>
              <m:t>12</m:t>
            </m:r>
          </m:sub>
        </m:sSub>
      </m:oMath>
      <w:r>
        <w:rPr/>
        <w:t xml:space="preserve"> en fonction de </w:t>
      </w:r>
      <m:oMath>
        <m:sSub>
          <m:sSubPr/>
          <m:e>
            <m:r>
              <m:rPr>
                <m:sty m:val="i"/>
              </m:rPr>
              <m:t>ϕ</m:t>
            </m:r>
          </m:e>
          <m:sub>
            <m:r>
              <m:rPr>
                <m:sty m:val="p"/>
              </m:rPr>
              <m:t>2</m:t>
            </m:r>
          </m:sub>
        </m:sSub>
      </m:oMath>
      <w:r>
        <w:rPr/>
        <w:t xml:space="preserve"> puis </w:t>
      </w:r>
      <m:oMath>
        <m:r>
          <m:rPr>
            <m:sty m:val="p"/>
          </m:rPr>
          <m:t>tan</m:t>
        </m:r>
        <m:r>
          <m:rPr>
            <m:sty m:val="p"/>
          </m:rPr>
          <m:t>⁡</m:t>
        </m:r>
        <m:d>
          <m:dPr>
            <m:begChr m:val="("/>
            <m:endChr m:val=")"/>
            <m:ctrlPr>
              <w:rPr>
                <w:rFonts w:ascii="Cambria Math" w:hAnsi="Cambria Math"/>
              </w:rPr>
            </m:ctrlPr>
          </m:dPr>
          <m:e>
            <m:sSub>
              <m:sSubPr/>
              <m:e>
                <m:r>
                  <m:rPr>
                    <m:sty m:val="i"/>
                  </m:rPr>
                  <m:t>ϕ</m:t>
                </m:r>
              </m:e>
              <m:sub>
                <m:r>
                  <m:rPr>
                    <m:sty m:val="p"/>
                  </m:rPr>
                  <m:t>2</m:t>
                </m:r>
              </m:sub>
            </m:sSub>
            <m:r>
              <m:rPr>
                <m:sty m:val="p"/>
              </m:rPr>
              <m:t>/</m:t>
            </m:r>
            <m:r>
              <m:rPr>
                <m:sty m:val="p"/>
              </m:rPr>
              <m:t>2</m:t>
            </m:r>
          </m:e>
        </m:d>
      </m:oMath>
      <w:r>
        <w:rPr>
          <w:rFonts w:eastAsia="Georgia" w:cs="Georgia" w:ascii="Georgia" w:hAnsi="Georgia"/>
        </w:rPr>
        <w:t xml:space="preserve"> en fonction du paramètre </w:t>
      </w:r>
      <m:oMath>
        <m:r>
          <m:rPr>
            <m:sty m:val="i"/>
          </m:rPr>
          <m:t>r</m:t>
        </m:r>
      </m:oMath>
      <w:r>
        <w:rPr>
          <w:rFonts w:eastAsia="Georgia" w:cs="Georgia" w:ascii="Georgia" w:hAnsi="Georgia"/>
        </w:rPr>
        <w:t xml:space="preserve"> (tan désigne la fonction tangente).</w:t>
      </w:r>
    </w:p>
    <w:p>
      <w:pPr>
        <w:numPr>
          <w:ilvl w:val="0"/>
          <w:numId w:val="8"/>
        </w:numPr>
        <w:spacing w:lineRule="auto"/>
      </w:pPr>
      <w:r>
        <w:rPr>
          <w:rFonts w:eastAsia="Georgia" w:cs="Georgia" w:ascii="Georgia" w:hAnsi="Georgia"/>
        </w:rPr>
        <w:t xml:space="preserve">Déterminer à quelle condition (notée </w:t>
      </w:r>
      <m:oMath>
        <m:sSub>
          <m:sSubPr/>
          <m:e>
            <m:r>
              <m:rPr>
                <m:sty m:val="p"/>
              </m:rPr>
              <m:t>C</m:t>
            </m:r>
          </m:e>
          <m:sub>
            <m:r>
              <m:rPr>
                <m:sty m:val="i"/>
              </m:rPr>
              <m:t>π</m:t>
            </m:r>
          </m:sub>
        </m:sSub>
      </m:oMath>
      <w:r>
        <w:rPr>
          <w:rFonts w:eastAsia="Georgia" w:cs="Georgia" w:ascii="Georgia" w:hAnsi="Georgia"/>
        </w:rPr>
        <w:t xml:space="preserve"> ), portant sur le paramètre </w:t>
      </w:r>
      <m:oMath>
        <m:r>
          <m:rPr>
            <m:sty m:val="i"/>
          </m:rPr>
          <m:t>r</m:t>
        </m:r>
      </m:oMath>
      <w:r>
        <w:rPr/>
        <w:t xml:space="preserve">, la largeur de l'intervalle angulaire </w:t>
      </w:r>
      <m:oMath>
        <m:sSub>
          <m:sSubPr/>
          <m:e>
            <m:r>
              <m:rPr>
                <m:sty m:val="p"/>
              </m:rPr>
              <m:t>Δ</m:t>
            </m:r>
          </m:e>
          <m:sub>
            <m:r>
              <m:rPr>
                <m:sty m:val="p"/>
              </m:rPr>
              <m:t>12</m:t>
            </m:r>
          </m:sub>
        </m:sSub>
      </m:oMath>
      <w:r>
        <w:rPr/>
        <w:t xml:space="preserve"> tend vers </w:t>
      </w:r>
      <m:oMath>
        <m:r>
          <m:rPr>
            <m:sty m:val="i"/>
          </m:rPr>
          <m:t>π</m:t>
        </m:r>
      </m:oMath>
      <w:r>
        <w:rPr>
          <w:rFonts w:eastAsia="Georgia" w:cs="Georgia" w:ascii="Georgia" w:hAnsi="Georgia"/>
        </w:rPr>
        <w:t xml:space="preserve">. Puis à quelle autre condition (notée </w:t>
      </w:r>
      <m:oMath>
        <m:sSub>
          <m:sSubPr/>
          <m:e>
            <m:r>
              <m:rPr>
                <m:sty m:val="p"/>
              </m:rPr>
              <m:t>C</m:t>
            </m:r>
          </m:e>
          <m:sub>
            <m:r>
              <m:rPr>
                <m:sty m:val="p"/>
              </m:rPr>
              <m:t>2</m:t>
            </m:r>
            <m:r>
              <m:rPr>
                <m:sty m:val="i"/>
              </m:rPr>
              <m:t>π</m:t>
            </m:r>
          </m:sub>
        </m:sSub>
      </m:oMath>
      <w:r>
        <w:rPr>
          <w:rFonts w:eastAsia="Georgia" w:cs="Georgia" w:ascii="Georgia" w:hAnsi="Georgia"/>
        </w:rPr>
        <w:t xml:space="preserve"> ), portant sur le paramètre </w:t>
      </w:r>
      <m:oMath>
        <m:r>
          <m:rPr>
            <m:sty m:val="i"/>
          </m:rPr>
          <m:t>r</m:t>
        </m:r>
      </m:oMath>
      <w:r>
        <w:rPr/>
        <w:t xml:space="preserve">, il tend vers </w:t>
      </w:r>
      <m:oMath>
        <m:r>
          <m:rPr>
            <m:sty m:val="p"/>
          </m:rPr>
          <m:t>2</m:t>
        </m:r>
        <m:r>
          <m:rPr>
            <m:sty m:val="i"/>
          </m:rPr>
          <m:t>π</m:t>
        </m:r>
      </m:oMath>
      <w:r>
        <w:rPr/>
        <w:t xml:space="preserve">. Pour chacune de ces conditions, exprimer </w:t>
      </w:r>
      <m:oMath>
        <m:sSub>
          <m:sSubPr/>
          <m:e>
            <m:r>
              <m:rPr>
                <m:sty m:val="p"/>
              </m:rPr>
              <m:t>Δ</m:t>
            </m:r>
          </m:e>
          <m:sub>
            <m:r>
              <m:rPr>
                <m:sty m:val="p"/>
              </m:rPr>
              <m:t>12</m:t>
            </m:r>
          </m:sub>
        </m:sSub>
      </m:oMath>
      <w:r>
        <w:rPr/>
        <w:t xml:space="preserve"> en fonction de </w:t>
      </w:r>
      <m:oMath>
        <m:r>
          <m:rPr>
            <m:sty m:val="i"/>
          </m:rPr>
          <m:t>r</m:t>
        </m:r>
      </m:oMath>
      <w:r>
        <w:rPr>
          <w:rFonts w:eastAsia="Georgia" w:cs="Georgia" w:ascii="Georgia" w:hAnsi="Georgia"/>
        </w:rPr>
        <w:t xml:space="preserve">, de façon approchée.</w:t>
      </w:r>
    </w:p>
    <w:p>
      <w:pPr>
        <w:spacing w:after="220" w:lineRule="auto"/>
      </w:pPr>
      <w:r>
        <w:rPr/>
        <w:t xml:space="preserve">La condition </w:t>
      </w:r>
      <m:oMath>
        <m:sSub>
          <m:sSubPr/>
          <m:e>
            <m:r>
              <m:rPr>
                <m:sty m:val="p"/>
              </m:rPr>
              <m:t>C</m:t>
            </m:r>
          </m:e>
          <m:sub>
            <m:r>
              <m:rPr>
                <m:sty m:val="i"/>
              </m:rPr>
              <m:t>π</m:t>
            </m:r>
          </m:sub>
        </m:sSub>
      </m:oMath>
      <w:r>
        <w:rPr/>
        <w:t xml:space="preserve"> correspond au domaine des "faibles" vitesses de tirage (ou tractage) et la condition </w:t>
      </w:r>
      <m:oMath>
        <m:sSub>
          <m:sSubPr/>
          <m:e>
            <m:r>
              <m:rPr>
                <m:sty m:val="p"/>
              </m:rPr>
              <m:t>C</m:t>
            </m:r>
          </m:e>
          <m:sub>
            <m:r>
              <m:rPr>
                <m:sty m:val="p"/>
              </m:rPr>
              <m:t>2</m:t>
            </m:r>
            <m:r>
              <m:rPr>
                <m:sty m:val="i"/>
              </m:rPr>
              <m:t>π</m:t>
            </m:r>
          </m:sub>
        </m:sSub>
      </m:oMath>
      <w:r>
        <w:rPr>
          <w:rFonts w:eastAsia="Georgia" w:cs="Georgia" w:ascii="Georgia" w:hAnsi="Georgia"/>
        </w:rPr>
        <w:t xml:space="preserve"> celui des vitesses "élevées".</w:t>
      </w:r>
    </w:p>
    <w:p>
      <w:pPr>
        <w:numPr>
          <w:ilvl w:val="0"/>
          <w:numId w:val="9"/>
        </w:numPr>
        <w:spacing w:lineRule="auto"/>
      </w:pPr>
      <w:r>
        <w:rPr>
          <w:rFonts w:eastAsia="Georgia" w:cs="Georgia" w:ascii="Georgia" w:hAnsi="Georgia"/>
        </w:rPr>
        <w:t xml:space="preserve">Indication : On effectuera un développement limité adapté à chacune des conditions </w:t>
      </w:r>
      <m:oMath>
        <m:sSub>
          <m:sSubPr/>
          <m:e>
            <m:r>
              <m:rPr>
                <m:sty m:val="p"/>
              </m:rPr>
              <m:t>C</m:t>
            </m:r>
          </m:e>
          <m:sub>
            <m:r>
              <m:rPr>
                <m:sty m:val="i"/>
              </m:rPr>
              <m:t>π</m:t>
            </m:r>
          </m:sub>
        </m:sSub>
      </m:oMath>
      <w:r>
        <w:rPr/>
        <w:t xml:space="preserve"> et </w:t>
      </w:r>
      <m:oMath>
        <m:sSub>
          <m:sSubPr/>
          <m:e>
            <m:r>
              <m:rPr>
                <m:sty m:val="p"/>
              </m:rPr>
              <m:t>C</m:t>
            </m:r>
          </m:e>
          <m:sub>
            <m:r>
              <m:rPr>
                <m:sty m:val="p"/>
              </m:rPr>
              <m:t>2</m:t>
            </m:r>
            <m:r>
              <m:rPr>
                <m:sty m:val="i"/>
              </m:rPr>
              <m:t>π</m:t>
            </m:r>
          </m:sub>
        </m:sSub>
      </m:oMath>
      <w:r>
        <w:rPr>
          <w:rFonts w:eastAsia="Georgia" w:cs="Georgia" w:ascii="Georgia" w:hAnsi="Georgia"/>
        </w:rPr>
        <w:t xml:space="preserve">. On ne conservera que le premier terme correctif à chacune des valeurs limites </w:t>
      </w:r>
      <m:oMath>
        <m:r>
          <m:rPr>
            <m:sty m:val="i"/>
          </m:rPr>
          <m:t>π</m:t>
        </m:r>
      </m:oMath>
      <w:r>
        <w:rPr/>
        <w:t xml:space="preserve"> et </w:t>
      </w:r>
      <m:oMath>
        <m:r>
          <m:rPr>
            <m:sty m:val="p"/>
          </m:rPr>
          <m:t>2</m:t>
        </m:r>
        <m:r>
          <m:rPr>
            <m:sty m:val="i"/>
          </m:rPr>
          <m:t>π</m:t>
        </m:r>
      </m:oMath>
      <w:r>
        <w:rPr/>
        <w:t xml:space="preserve">.</w:t>
      </w:r>
      <w:r>
        <w:rPr/>
        <w:br w:type="textWrapping"/>
      </w:r>
      <m:oMath>
        <m:r>
          <m:rPr>
            <m:sty m:val="i"/>
          </m:rPr>
          <m:t>◻</m:t>
        </m:r>
      </m:oMath>
      <w:r>
        <w:rPr>
          <w:rFonts w:eastAsia="Georgia" w:cs="Georgia" w:ascii="Georgia" w:hAnsi="Georgia"/>
        </w:rPr>
        <w:t xml:space="preserve"> Après que le solide s'est immobilisé (en </w:t>
      </w:r>
      <m:oMath>
        <m:r>
          <m:rPr>
            <m:sty m:val="i"/>
          </m:rPr>
          <m:t>θ</m:t>
        </m:r>
        <m:r>
          <m:rPr>
            <m:sty m:val="p"/>
          </m:rPr>
          <m:t>=</m:t>
        </m:r>
        <m:sSub>
          <m:sSubPr/>
          <m:e>
            <m:r>
              <m:rPr>
                <m:sty m:val="i"/>
              </m:rPr>
              <m:t>θ</m:t>
            </m:r>
          </m:e>
          <m:sub>
            <m:r>
              <m:rPr>
                <m:sty m:val="p"/>
              </m:rPr>
              <m:t>2</m:t>
            </m:r>
          </m:sub>
        </m:sSub>
      </m:oMath>
      <w:r>
        <w:rPr>
          <w:rFonts w:eastAsia="Georgia" w:cs="Georgia" w:ascii="Georgia" w:hAnsi="Georgia"/>
        </w:rPr>
        <w:t xml:space="preserve"> ), les conditions initiales sont telles qu'il ne repart pas en arrière.</w:t>
      </w:r>
    </w:p>
    <w:p>
      <w:pPr>
        <w:numPr>
          <w:ilvl w:val="0"/>
          <w:numId w:val="10"/>
        </w:numPr>
        <w:spacing w:lineRule="auto"/>
      </w:pPr>
      <w:r>
        <w:rPr>
          <w:rFonts w:eastAsia="Georgia" w:cs="Georgia" w:ascii="Georgia" w:hAnsi="Georgia"/>
        </w:rPr>
        <w:t xml:space="preserve">La figure (2) représente graphiquement les fonctions : (a) </w:t>
      </w:r>
      <m:oMath>
        <m:r>
          <m:rPr>
            <m:sty m:val="i"/>
          </m:rPr>
          <m:t>F</m:t>
        </m:r>
        <m:r>
          <m:rPr>
            <m:sty m:val="p"/>
          </m:rPr>
          <m:t>=</m:t>
        </m:r>
        <m:r>
          <m:rPr>
            <m:sty m:val="i"/>
          </m:rPr>
          <m:t>F</m:t>
        </m:r>
        <m:r>
          <m:rPr>
            <m:sty m:val="p"/>
          </m:rPr>
          <m:t>(</m:t>
        </m:r>
        <m:r>
          <m:rPr>
            <m:sty m:val="i"/>
          </m:rPr>
          <m:t>ϕ</m:t>
        </m:r>
        <m:r>
          <m:rPr>
            <m:sty m:val="p"/>
          </m:rPr>
          <m:t>)</m:t>
        </m:r>
      </m:oMath>
      <w:r>
        <w:rPr/>
        <w:t xml:space="preserve">, (b) </w:t>
      </w:r>
      <m:oMath>
        <m:sSup>
          <m:sSupPr/>
          <m:e>
            <m:r>
              <m:rPr>
                <m:sty m:val="i"/>
              </m:rPr>
              <m:t>F</m:t>
            </m:r>
          </m:e>
          <m:sup>
            <m:r>
              <m:rPr>
                <m:sty m:val="i"/>
              </m:rPr>
              <m:t>′</m:t>
            </m:r>
          </m:sup>
        </m:sSup>
        <m:r>
          <m:rPr>
            <m:sty m:val="p"/>
          </m:rPr>
          <m:t>=</m:t>
        </m:r>
        <m:sSup>
          <m:sSupPr/>
          <m:e>
            <m:r>
              <m:rPr>
                <m:sty m:val="i"/>
              </m:rPr>
              <m:t>F</m:t>
            </m:r>
          </m:e>
          <m:sup>
            <m:r>
              <m:rPr>
                <m:sty m:val="i"/>
              </m:rPr>
              <m:t>′</m:t>
            </m:r>
          </m:sup>
        </m:sSup>
        <m:r>
          <m:rPr>
            <m:sty m:val="p"/>
          </m:rPr>
          <m:t>(</m:t>
        </m:r>
        <m:r>
          <m:rPr>
            <m:sty m:val="i"/>
          </m:rPr>
          <m:t>ϕ</m:t>
        </m:r>
        <m:r>
          <m:rPr>
            <m:sty m:val="p"/>
          </m:rPr>
          <m:t>)</m:t>
        </m:r>
      </m:oMath>
      <w:r>
        <w:rPr/>
        <w:t xml:space="preserve"> et (c) </w:t>
      </w:r>
      <m:oMath>
        <m:sSub>
          <m:sSubPr/>
          <m:e>
            <m:r>
              <m:rPr>
                <m:sty m:val="i"/>
              </m:rPr>
              <m:t>X</m:t>
            </m:r>
          </m:e>
          <m:sub>
            <m:r>
              <m:rPr>
                <m:sty m:val="p"/>
              </m:rPr>
              <m:t>B</m:t>
            </m:r>
          </m:sub>
        </m:sSub>
        <m:r>
          <m:rPr>
            <m:sty m:val="p"/>
          </m:rPr>
          <m:t>=</m:t>
        </m:r>
        <m:sSub>
          <m:sSubPr/>
          <m:e>
            <m:r>
              <m:rPr>
                <m:sty m:val="i"/>
              </m:rPr>
              <m:t>W</m:t>
            </m:r>
          </m:e>
          <m:sub>
            <m:r>
              <m:rPr>
                <m:sty m:val="p"/>
              </m:rPr>
              <m:t>B</m:t>
            </m:r>
          </m:sub>
        </m:sSub>
        <m:r>
          <m:rPr>
            <m:sty m:val="p"/>
          </m:rPr>
          <m:t>×</m:t>
        </m:r>
        <m:r>
          <m:rPr>
            <m:sty m:val="i"/>
          </m:rPr>
          <m:t>θ</m:t>
        </m:r>
        <m:d>
          <m:dPr>
            <m:begChr m:val="("/>
            <m:endChr m:val=")"/>
            <m:ctrlPr>
              <w:rPr>
                <w:rFonts w:ascii="Cambria Math" w:hAnsi="Cambria Math"/>
              </w:rPr>
            </m:ctrlPr>
          </m:dPr>
          <m:e>
            <m:r>
              <m:rPr>
                <m:sty m:val="i"/>
              </m:rPr>
              <m:t>θ</m:t>
            </m:r>
            <m:r>
              <m:rPr>
                <m:sty m:val="p"/>
              </m:rPr>
              <m:t>=</m:t>
            </m:r>
            <m:sSub>
              <m:sSubPr/>
              <m:e>
                <m:r>
                  <m:rPr>
                    <m:sty m:val="i"/>
                  </m:rPr>
                  <m:t>θ</m:t>
                </m:r>
              </m:e>
              <m:sub>
                <m:r>
                  <m:rPr>
                    <m:sty m:val="p"/>
                  </m:rPr>
                  <m:t>1</m:t>
                </m:r>
              </m:sub>
            </m:sSub>
            <m:r>
              <m:rPr>
                <m:sty m:val="p"/>
              </m:rPr>
              <m:t>+</m:t>
            </m:r>
            <m:r>
              <m:rPr>
                <m:sty m:val="i"/>
              </m:rPr>
              <m:t>ϕ</m:t>
            </m:r>
          </m:e>
        </m:d>
      </m:oMath>
      <w:r>
        <w:rPr>
          <w:rFonts w:eastAsia="Georgia" w:cs="Georgia" w:ascii="Georgia" w:hAnsi="Georgia"/>
        </w:rPr>
        <w:t xml:space="preserve">, correspondant à un certain jeu de paramètres. La figure (3) représente l'une ces fonctions, en pleine échelle. Sur ces tracés, les fonctions (a) et (b) ne sont à considérer, physiquement, que sur l'intervalle angulaire </w:t>
      </w:r>
      <m:oMath>
        <m:sSub>
          <m:sSubPr/>
          <m:e>
            <m:r>
              <m:rPr>
                <m:sty m:val="i"/>
              </m:rPr>
              <m:t>I</m:t>
            </m:r>
          </m:e>
          <m:sub>
            <m:r>
              <m:rPr>
                <m:sty m:val="p"/>
              </m:rPr>
              <m:t>2</m:t>
            </m:r>
          </m:sub>
        </m:sSub>
      </m:oMath>
      <w:r>
        <w:rPr>
          <w:rFonts w:eastAsia="Georgia" w:cs="Georgia" w:ascii="Georgia" w:hAnsi="Georgia"/>
        </w:rPr>
        <w:t xml:space="preserve"> où le solide (1) glisse sur la surface (0).</w:t>
      </w:r>
    </w:p>
    <w:p>
      <w:pPr>
        <w:spacing w:after="220" w:lineRule="auto"/>
      </w:pPr>
      <w:r>
        <w:rPr>
          <w:rFonts w:eastAsia="Georgia" w:cs="Georgia" w:ascii="Georgia" w:hAnsi="Georgia"/>
        </w:rPr>
        <w:t xml:space="preserve">Compte tenu des différents changements de variables réalisés et paramètres introduits, gardons à l'esprit les correspondances suivantes :</w:t>
      </w:r>
    </w:p>
    <w:p>
      <w:pPr>
        <w:numPr>
          <w:ilvl w:val="0"/>
          <w:numId w:val="11"/>
        </w:numPr>
        <w:spacing w:lineRule="auto"/>
      </w:pPr>
      <w:r>
        <w:rPr>
          <w:rFonts w:eastAsia="Georgia" w:cs="Georgia" w:ascii="Georgia" w:hAnsi="Georgia"/>
        </w:rPr>
        <w:t xml:space="preserve">Le paramètre </w:t>
      </w:r>
      <m:oMath>
        <m:sSub>
          <m:sSubPr/>
          <m:e>
            <m:r>
              <m:rPr>
                <m:sty m:val="i"/>
              </m:rPr>
              <m:t>W</m:t>
            </m:r>
          </m:e>
          <m:sub>
            <m:r>
              <m:rPr>
                <m:sty m:val="p"/>
              </m:rPr>
              <m:t>B</m:t>
            </m:r>
          </m:sub>
        </m:sSub>
      </m:oMath>
      <w:r>
        <w:rPr>
          <w:rFonts w:eastAsia="Georgia" w:cs="Georgia" w:ascii="Georgia" w:hAnsi="Georgia"/>
        </w:rPr>
        <w:t xml:space="preserve"> correspond à la vitesse de tirage ( </w:t>
      </w:r>
      <m:oMath>
        <m:sSub>
          <m:sSubPr/>
          <m:e>
            <m:r>
              <m:rPr>
                <m:sty m:val="i"/>
              </m:rPr>
              <m:t>V</m:t>
            </m:r>
          </m:e>
          <m:sub>
            <m:r>
              <m:rPr>
                <m:sty m:val="p"/>
              </m:rPr>
              <m:t>B</m:t>
            </m:r>
          </m:sub>
        </m:sSub>
      </m:oMath>
      <w:r>
        <w:rPr>
          <w:rFonts w:eastAsia="Georgia" w:cs="Georgia" w:ascii="Georgia" w:hAnsi="Georgia"/>
        </w:rPr>
        <w:t xml:space="preserve"> ), adimensionnalisée;</w:t>
      </w:r>
    </w:p>
    <w:p>
      <w:pPr>
        <w:numPr>
          <w:ilvl w:val="0"/>
          <w:numId w:val="11"/>
        </w:numPr>
        <w:spacing w:lineRule="auto"/>
      </w:pPr>
      <w:r>
        <w:rPr>
          <w:rFonts w:eastAsia="Georgia" w:cs="Georgia" w:ascii="Georgia" w:hAnsi="Georgia"/>
        </w:rPr>
        <w:t xml:space="preserve">Le paramètre </w:t>
      </w:r>
      <m:oMath>
        <m:r>
          <m:rPr>
            <m:sty m:val="i"/>
          </m:rPr>
          <m:t>r</m:t>
        </m:r>
      </m:oMath>
      <w:r>
        <w:rPr>
          <w:rFonts w:eastAsia="Georgia" w:cs="Georgia" w:ascii="Georgia" w:hAnsi="Georgia"/>
        </w:rPr>
        <w:t xml:space="preserve"> correspond à la différence des coefficients de frottement statique et dynamique </w:t>
      </w:r>
      <m:oMath>
        <m:d>
          <m:dPr>
            <m:begChr m:val="("/>
            <m:endChr m:val=")"/>
            <m:ctrlPr>
              <w:rPr>
                <w:rFonts w:ascii="Cambria Math" w:hAnsi="Cambria Math"/>
              </w:rPr>
            </m:ctrlPr>
          </m:dPr>
          <m:e>
            <m:sSub>
              <m:sSubPr/>
              <m:e>
                <m:r>
                  <m:rPr>
                    <m:sty m:val="i"/>
                  </m:rPr>
                  <m:t>f</m:t>
                </m:r>
              </m:e>
              <m:sub>
                <m:r>
                  <m:rPr>
                    <m:sty m:val="p"/>
                  </m:rPr>
                  <m:t>s</m:t>
                </m:r>
              </m:sub>
            </m:sSub>
            <m:r>
              <m:rPr>
                <m:sty m:val="p"/>
              </m:rPr>
              <m:t>−</m:t>
            </m:r>
            <m:sSub>
              <m:sSubPr/>
              <m:e>
                <m:r>
                  <m:rPr>
                    <m:sty m:val="i"/>
                  </m:rPr>
                  <m:t>f</m:t>
                </m:r>
              </m:e>
              <m:sub>
                <m:r>
                  <m:rPr>
                    <m:sty m:val="p"/>
                  </m:rPr>
                  <m:t>d</m:t>
                </m:r>
              </m:sub>
            </m:sSub>
          </m:e>
        </m:d>
      </m:oMath>
      <w:r>
        <w:rPr>
          <w:rFonts w:eastAsia="Georgia" w:cs="Georgia" w:ascii="Georgia" w:hAnsi="Georgia"/>
        </w:rPr>
        <w:t xml:space="preserve">, rapportée à </w:t>
      </w:r>
      <m:oMath>
        <m:sSub>
          <m:sSubPr/>
          <m:e>
            <m:r>
              <m:rPr>
                <m:sty m:val="i"/>
              </m:rPr>
              <m:t>W</m:t>
            </m:r>
          </m:e>
          <m:sub>
            <m:r>
              <m:rPr>
                <m:sty m:val="p"/>
              </m:rPr>
              <m:t>B</m:t>
            </m:r>
          </m:sub>
        </m:sSub>
      </m:oMath>
      <w:r>
        <w:rPr/>
        <w:t xml:space="preserve">;</w:t>
      </w:r>
    </w:p>
    <w:p>
      <w:pPr>
        <w:numPr>
          <w:ilvl w:val="0"/>
          <w:numId w:val="11"/>
        </w:numPr>
        <w:spacing w:lineRule="auto"/>
      </w:pPr>
      <w:r>
        <w:rPr/>
        <w:t xml:space="preserve">La variable </w:t>
      </w:r>
      <m:oMath>
        <m:r>
          <m:rPr>
            <m:sty m:val="i"/>
          </m:rPr>
          <m:t>θ</m:t>
        </m:r>
      </m:oMath>
      <w:r>
        <w:rPr/>
        <w:t xml:space="preserve"> correspond au temps ( </w:t>
      </w:r>
      <m:oMath>
        <m:r>
          <m:rPr>
            <m:sty m:val="i"/>
          </m:rPr>
          <m:t>t</m:t>
        </m:r>
      </m:oMath>
      <w:r>
        <w:rPr>
          <w:rFonts w:eastAsia="Georgia" w:cs="Georgia" w:ascii="Georgia" w:hAnsi="Georgia"/>
        </w:rPr>
        <w:t xml:space="preserve"> ), adimensionnalisé;</w:t>
      </w:r>
    </w:p>
    <w:p>
      <w:pPr>
        <w:numPr>
          <w:ilvl w:val="0"/>
          <w:numId w:val="11"/>
        </w:numPr>
        <w:spacing w:lineRule="auto"/>
      </w:pPr>
      <w:r>
        <w:rPr/>
        <w:t xml:space="preserve">Les variables </w:t>
      </w:r>
      <m:oMath>
        <m:r>
          <m:rPr>
            <m:sty m:val="i"/>
          </m:rPr>
          <m:t>U</m:t>
        </m:r>
      </m:oMath>
      <w:r>
        <w:rPr/>
        <w:t xml:space="preserve"> et </w:t>
      </w:r>
      <m:oMath>
        <m:r>
          <m:rPr>
            <m:sty m:val="i"/>
          </m:rPr>
          <m:t>F</m:t>
        </m:r>
      </m:oMath>
      <w:r>
        <w:rPr>
          <w:rFonts w:eastAsia="Georgia" w:cs="Georgia" w:ascii="Georgia" w:hAnsi="Georgia"/>
        </w:rPr>
        <w:t xml:space="preserve"> correspondent à l'abscisse ( </w:t>
      </w:r>
      <m:oMath>
        <m:r>
          <m:rPr>
            <m:sty m:val="i"/>
          </m:rPr>
          <m:t>u</m:t>
        </m:r>
      </m:oMath>
      <w:r>
        <w:rPr>
          <w:rFonts w:eastAsia="Georgia" w:cs="Georgia" w:ascii="Georgia" w:hAnsi="Georgia"/>
        </w:rPr>
        <w:t xml:space="preserve"> ) du solide, adimensionnalisées :</w:t>
      </w:r>
    </w:p>
    <w:p>
      <w:pPr>
        <w:numPr>
          <w:ilvl w:val="0"/>
          <w:numId w:val="11"/>
        </w:numPr>
        <w:spacing w:lineRule="auto"/>
      </w:pPr>
      <w:r>
        <w:rPr>
          <w:rFonts w:eastAsia="Georgia" w:cs="Georgia" w:ascii="Georgia" w:hAnsi="Georgia"/>
        </w:rPr>
        <w:t xml:space="preserve">La dérivée </w:t>
      </w:r>
      <m:oMath>
        <m:sSup>
          <m:sSupPr/>
          <m:e>
            <m:r>
              <m:rPr>
                <m:sty m:val="i"/>
              </m:rPr>
              <m:t>F</m:t>
            </m:r>
          </m:e>
          <m:sup>
            <m:r>
              <m:rPr>
                <m:sty m:val="i"/>
              </m:rPr>
              <m:t>′</m:t>
            </m:r>
          </m:sup>
        </m:sSup>
      </m:oMath>
      <w:r>
        <w:rPr>
          <w:rFonts w:eastAsia="Georgia" w:cs="Georgia" w:ascii="Georgia" w:hAnsi="Georgia"/>
        </w:rPr>
        <w:t xml:space="preserve"> correspond à la vitesse </w:t>
      </w:r>
      <m:oMath>
        <m:r>
          <m:rPr>
            <m:sty m:val="p"/>
          </m:rPr>
          <m:t>(</m:t>
        </m:r>
        <m:r>
          <m:rPr>
            <m:sty m:val="i"/>
          </m:rPr>
          <m:t>v</m:t>
        </m:r>
        <m:r>
          <m:rPr>
            <m:sty m:val="p"/>
          </m:rPr>
          <m:t>)</m:t>
        </m:r>
      </m:oMath>
      <w:r>
        <w:rPr>
          <w:rFonts w:eastAsia="Georgia" w:cs="Georgia" w:ascii="Georgia" w:hAnsi="Georgia"/>
        </w:rPr>
        <w:t xml:space="preserve"> du solide, adimensionnalisée;</w:t>
      </w:r>
    </w:p>
    <w:p>
      <w:pPr>
        <w:numPr>
          <w:ilvl w:val="0"/>
          <w:numId w:val="11"/>
        </w:numPr>
        <w:spacing w:lineRule="auto"/>
      </w:pPr>
      <w:r>
        <w:rPr>
          <w:rFonts w:eastAsia="Georgia" w:cs="Georgia" w:ascii="Georgia" w:hAnsi="Georgia"/>
        </w:rPr>
        <w:t xml:space="preserve">La différence </w:t>
      </w:r>
      <m:oMath>
        <m:sSub>
          <m:sSubPr/>
          <m:e>
            <m:r>
              <m:rPr>
                <m:sty m:val="i"/>
              </m:rPr>
              <m:t>X</m:t>
            </m:r>
          </m:e>
          <m:sub>
            <m:r>
              <m:rPr>
                <m:sty m:val="p"/>
              </m:rPr>
              <m:t>B</m:t>
            </m:r>
          </m:sub>
        </m:sSub>
        <m:r>
          <m:rPr>
            <m:sty m:val="p"/>
          </m:rPr>
          <m:t>(</m:t>
        </m:r>
        <m:r>
          <m:rPr>
            <m:sty m:val="i"/>
          </m:rPr>
          <m:t>θ</m:t>
        </m:r>
        <m:r>
          <m:rPr>
            <m:sty m:val="p"/>
          </m:rPr>
          <m:t>(</m:t>
        </m:r>
        <m:r>
          <m:rPr>
            <m:sty m:val="i"/>
          </m:rPr>
          <m:t>ϕ</m:t>
        </m:r>
        <m:r>
          <m:rPr>
            <m:sty m:val="p"/>
          </m:rPr>
          <m:t>)</m:t>
        </m:r>
        <m:r>
          <m:rPr>
            <m:sty m:val="p"/>
          </m:rPr>
          <m:t>)</m:t>
        </m:r>
        <m:r>
          <m:rPr>
            <m:sty m:val="p"/>
          </m:rPr>
          <m:t>−</m:t>
        </m:r>
        <m:r>
          <m:rPr>
            <m:sty m:val="i"/>
          </m:rPr>
          <m:t>F</m:t>
        </m:r>
        <m:r>
          <m:rPr>
            <m:sty m:val="p"/>
          </m:rPr>
          <m:t>(</m:t>
        </m:r>
        <m:r>
          <m:rPr>
            <m:sty m:val="i"/>
          </m:rPr>
          <m:t>ϕ</m:t>
        </m:r>
        <m:r>
          <m:rPr>
            <m:sty m:val="p"/>
          </m:rPr>
          <m:t>)</m:t>
        </m:r>
      </m:oMath>
      <w:r>
        <w:rPr>
          <w:rFonts w:eastAsia="Georgia" w:cs="Georgia" w:ascii="Georgia" w:hAnsi="Georgia"/>
        </w:rPr>
        <w:t xml:space="preserve"> correspond à l'élongation (algébrique) du ressort, adimensionnalisée ;</w:t>
      </w:r>
    </w:p>
    <w:p>
      <w:pPr>
        <w:spacing w:lineRule="auto"/>
        <w:jc w:val="center"/>
      </w:pPr>
      <w:r>
        <w:rPr/>
        <w:drawing>
          <wp:inline distB="0" distL="0" distR="0" distT="0">
            <wp:extent cx="5486400" cy="4228800"/>
            <wp:effectExtent b="0" l="0" r="0" t="0"/>
            <wp:docPr id="2" name="image-434e4ae5d854c282bc16566fc3b34cdc3c74d281.jpg"/>
            <a:graphic>
              <a:graphicData uri="http://schemas.openxmlformats.org/drawingml/2006/picture">
                <pic:pic>
                  <pic:nvPicPr>
                    <pic:cNvPr id="2" name="image-434e4ae5d854c282bc16566fc3b34cdc3c74d281.jpg" descr=""/>
                    <pic:cNvPicPr/>
                  </pic:nvPicPr>
                  <pic:blipFill>
                    <a:blip r:embed="rId6" cstate="print"/>
                    <a:srcRect b="0" l="0" r="0" t="0"/>
                    <a:stretch>
                      <a:fillRect/>
                    </a:stretch>
                  </pic:blipFill>
                  <pic:spPr>
                    <a:xfrm>
                      <a:off x="0" y="0"/>
                      <a:ext cx="5486400" cy="4228800"/>
                    </a:xfrm>
                    <a:prstGeom prst="rect"/>
                  </pic:spPr>
                </pic:pic>
              </a:graphicData>
            </a:graphic>
          </wp:inline>
        </w:drawing>
      </w:r>
    </w:p>
    <w:p>
      <w:pPr>
        <w:spacing w:lineRule="auto"/>
      </w:pPr>
      <w:r>
        <w:rPr>
          <w:rFonts w:eastAsia="Georgia" w:cs="Georgia" w:ascii="Georgia" w:hAnsi="Georgia"/>
        </w:rPr>
        <w:t xml:space="preserve">Figure 2 - Représentation graphique des fonctions (a), (b) et (c) (pour un certain jeu de paramètres).</w:t>
      </w:r>
    </w:p>
    <w:p>
      <w:pPr>
        <w:spacing w:lineRule="auto"/>
        <w:jc w:val="center"/>
      </w:pPr>
      <w:r>
        <w:rPr/>
        <w:drawing>
          <wp:inline distB="0" distL="0" distR="0" distT="0">
            <wp:extent cx="5486400" cy="4245829"/>
            <wp:effectExtent b="0" l="0" r="0" t="0"/>
            <wp:docPr id="3" name="image-7b9d62039a02cd31bd6e7a39a11e7d390fa7c114.jpg"/>
            <a:graphic>
              <a:graphicData uri="http://schemas.openxmlformats.org/drawingml/2006/picture">
                <pic:pic>
                  <pic:nvPicPr>
                    <pic:cNvPr id="3" name="image-7b9d62039a02cd31bd6e7a39a11e7d390fa7c114.jpg" descr=""/>
                    <pic:cNvPicPr/>
                  </pic:nvPicPr>
                  <pic:blipFill>
                    <a:blip r:embed="rId7" cstate="print"/>
                    <a:srcRect b="0" l="0" r="0" t="0"/>
                    <a:stretch>
                      <a:fillRect/>
                    </a:stretch>
                  </pic:blipFill>
                  <pic:spPr>
                    <a:xfrm>
                      <a:off x="0" y="0"/>
                      <a:ext cx="5486400" cy="4245829"/>
                    </a:xfrm>
                    <a:prstGeom prst="rect"/>
                  </pic:spPr>
                </pic:pic>
              </a:graphicData>
            </a:graphic>
          </wp:inline>
        </w:drawing>
      </w:r>
    </w:p>
    <w:p>
      <w:pPr>
        <w:spacing w:lineRule="auto"/>
      </w:pPr>
      <w:r>
        <w:rPr>
          <w:rFonts w:eastAsia="Georgia" w:cs="Georgia" w:ascii="Georgia" w:hAnsi="Georgia"/>
        </w:rPr>
        <w:t xml:space="preserve">Figure 3 - Représentation graphique de l'une des fonctions (a), (b) et (c), en pleine échelle.</w:t>
      </w:r>
    </w:p>
    <w:p>
      <w:pPr>
        <w:spacing w:after="220" w:lineRule="auto"/>
      </w:pPr>
      <w:r>
        <w:rPr>
          <w:rFonts w:eastAsia="Georgia" w:cs="Georgia" w:ascii="Georgia" w:hAnsi="Georgia"/>
        </w:rPr>
        <w:t xml:space="preserve">En se reportant à ces figures :</w:t>
      </w:r>
      <w:r>
        <w:rPr/>
        <w:br w:type="textWrapping"/>
      </w:r>
      <w:r>
        <w:rPr>
          <w:rFonts w:eastAsia="Georgia" w:cs="Georgia" w:ascii="Georgia" w:hAnsi="Georgia"/>
        </w:rPr>
        <w:t xml:space="preserve">11.1 Associer les fonctions (a), (b) et (c) aux tracés (1), (2) et (3).</w:t>
      </w:r>
      <w:r>
        <w:rPr/>
        <w:br w:type="textWrapping"/>
      </w:r>
      <w:r>
        <w:rPr>
          <w:rFonts w:eastAsia="Georgia" w:cs="Georgia" w:ascii="Georgia" w:hAnsi="Georgia"/>
        </w:rPr>
        <w:t xml:space="preserve">11.2 Indiquer dans quel état, d'extension ou de compression, le ressort (2) se trouve lorsque le solide (1) s'immobilise.</w:t>
      </w:r>
      <w:r>
        <w:rPr/>
        <w:br w:type="textWrapping"/>
      </w:r>
      <w:r>
        <w:rPr/>
        <w:t xml:space="preserve">11.4 Estimer la valeur de </w:t>
      </w:r>
      <m:oMath>
        <m:sSub>
          <m:sSubPr/>
          <m:e>
            <m:r>
              <m:rPr>
                <m:sty m:val="p"/>
              </m:rPr>
              <m:t>Δ</m:t>
            </m:r>
          </m:e>
          <m:sub>
            <m:r>
              <m:rPr>
                <m:sty m:val="p"/>
              </m:rPr>
              <m:t>12</m:t>
            </m:r>
          </m:sub>
        </m:sSub>
        <m:r>
          <m:rPr>
            <m:sty m:val="p"/>
          </m:rPr>
          <m:t>/</m:t>
        </m:r>
        <m:r>
          <m:rPr>
            <m:sty m:val="i"/>
          </m:rPr>
          <m:t>π</m:t>
        </m:r>
      </m:oMath>
      <w:r>
        <w:rPr/>
        <w:t xml:space="preserve">. Rappelons que </w:t>
      </w:r>
      <m:oMath>
        <m:sSub>
          <m:sSubPr/>
          <m:e>
            <m:r>
              <m:rPr>
                <m:sty m:val="p"/>
              </m:rPr>
              <m:t>Δ</m:t>
            </m:r>
          </m:e>
          <m:sub>
            <m:r>
              <m:rPr>
                <m:sty m:val="p"/>
              </m:rPr>
              <m:t>12</m:t>
            </m:r>
          </m:sub>
        </m:sSub>
      </m:oMath>
      <w:r>
        <w:rPr/>
        <w:t xml:space="preserve"> est la largeur de l'intervalle angulaire </w:t>
      </w:r>
      <m:oMath>
        <m:sSub>
          <m:sSubPr/>
          <m:e>
            <m:r>
              <m:rPr>
                <m:sty m:val="p"/>
              </m:rPr>
              <m:t>I</m:t>
            </m:r>
          </m:e>
          <m:sub>
            <m:r>
              <m:rPr>
                <m:sty m:val="p"/>
              </m:rPr>
              <m:t>2</m:t>
            </m:r>
          </m:sub>
        </m:sSub>
      </m:oMath>
      <w:r>
        <w:rPr>
          <w:rFonts w:eastAsia="Georgia" w:cs="Georgia" w:ascii="Georgia" w:hAnsi="Georgia"/>
        </w:rPr>
        <w:t xml:space="preserve"> correspondant à la phase 2 du mouvement (phase de glissement).</w:t>
      </w:r>
      <w:r>
        <w:rPr/>
        <w:br w:type="textWrapping"/>
      </w:r>
      <w:r>
        <w:rPr>
          <w:rFonts w:eastAsia="Georgia" w:cs="Georgia" w:ascii="Georgia" w:hAnsi="Georgia"/>
        </w:rPr>
        <w:t xml:space="preserve">11.5 Déduire du résultat précédent une estimation de la valeur du rapport </w:t>
      </w:r>
      <m:oMath>
        <m:r>
          <m:rPr>
            <m:sty m:val="i"/>
          </m:rPr>
          <m:t>r</m:t>
        </m:r>
      </m:oMath>
      <w:r>
        <w:rPr/>
        <w:t xml:space="preserve">.</w:t>
      </w:r>
      <w:r>
        <w:rPr/>
        <w:br w:type="textWrapping"/>
      </w:r>
      <w:r>
        <w:rPr/>
        <w:t xml:space="preserve">11.6 Estimer la valeur du coefficient </w:t>
      </w:r>
      <m:oMath>
        <m:sSub>
          <m:sSubPr/>
          <m:e>
            <m:r>
              <m:rPr>
                <m:sty m:val="i"/>
              </m:rPr>
              <m:t>f</m:t>
            </m:r>
          </m:e>
          <m:sub>
            <m:r>
              <m:rPr>
                <m:sty m:val="p"/>
              </m:rPr>
              <m:t>s</m:t>
            </m:r>
          </m:sub>
        </m:sSub>
      </m:oMath>
      <w:r>
        <w:rPr/>
        <w:t xml:space="preserve">.</w:t>
      </w:r>
      <w:r>
        <w:rPr/>
        <w:br w:type="textWrapping"/>
      </w:r>
      <w:r>
        <w:rPr/>
        <w:t xml:space="preserve">11.7 Estimer la valeur de </w:t>
      </w:r>
      <m:oMath>
        <m:sSub>
          <m:sSubPr/>
          <m:e>
            <m:r>
              <m:rPr>
                <m:sty m:val="i"/>
              </m:rPr>
              <m:t>θ</m:t>
            </m:r>
          </m:e>
          <m:sub>
            <m:r>
              <m:rPr>
                <m:sty m:val="p"/>
              </m:rPr>
              <m:t>1</m:t>
            </m:r>
          </m:sub>
        </m:sSub>
        <m:r>
          <m:rPr>
            <m:sty m:val="p"/>
          </m:rPr>
          <m:t>/</m:t>
        </m:r>
        <m:r>
          <m:rPr>
            <m:sty m:val="i"/>
          </m:rPr>
          <m:t>π</m:t>
        </m:r>
      </m:oMath>
      <w:r>
        <w:rPr/>
        <w:t xml:space="preserve">.</w:t>
      </w:r>
      <w:r>
        <w:rPr/>
        <w:br w:type="textWrapping"/>
      </w:r>
      <w:r>
        <w:rPr/>
        <w:t xml:space="preserve">11.8 Estimer la valeur de </w:t>
      </w:r>
      <m:oMath>
        <m:sSub>
          <m:sSubPr/>
          <m:e>
            <m:r>
              <m:rPr>
                <m:sty m:val="p"/>
              </m:rPr>
              <m:t>Δ</m:t>
            </m:r>
          </m:e>
          <m:sub>
            <m:r>
              <m:rPr>
                <m:sty m:val="p"/>
              </m:rPr>
              <m:t>23</m:t>
            </m:r>
          </m:sub>
        </m:sSub>
        <m:r>
          <m:rPr>
            <m:sty m:val="p"/>
          </m:rPr>
          <m:t>/</m:t>
        </m:r>
        <m:r>
          <m:rPr>
            <m:sty m:val="i"/>
          </m:rPr>
          <m:t>π</m:t>
        </m:r>
      </m:oMath>
      <w:r>
        <w:rPr>
          <w:rFonts w:eastAsia="Georgia" w:cs="Georgia" w:ascii="Georgia" w:hAnsi="Georgia"/>
        </w:rPr>
        <w:t xml:space="preserve"> où </w:t>
      </w:r>
      <m:oMath>
        <m:sSub>
          <m:sSubPr/>
          <m:e>
            <m:r>
              <m:rPr>
                <m:sty m:val="p"/>
              </m:rPr>
              <m:t>Δ</m:t>
            </m:r>
          </m:e>
          <m:sub>
            <m:r>
              <m:rPr>
                <m:sty m:val="p"/>
              </m:rPr>
              <m:t>23</m:t>
            </m:r>
          </m:sub>
        </m:sSub>
      </m:oMath>
      <w:r>
        <w:rPr>
          <w:rFonts w:eastAsia="Georgia" w:cs="Georgia" w:ascii="Georgia" w:hAnsi="Georgia"/>
        </w:rPr>
        <w:t xml:space="preserve"> est la largeur de l'intervalle angulaire correspondant à la phase 3 durant laquelle le solide reste à nouveau immobile.</w:t>
      </w:r>
      <w:r>
        <w:rPr/>
        <w:br w:type="textWrapping"/>
      </w:r>
      <w:r>
        <w:rPr>
          <w:rFonts w:eastAsia="Georgia" w:cs="Georgia" w:ascii="Georgia" w:hAnsi="Georgia"/>
        </w:rPr>
        <w:t xml:space="preserve">On indiquera le raisonnement qui a conduit à chacune des réponses données.</w:t>
      </w:r>
      <w:r>
        <w:rPr/>
        <w:br w:type="textWrapping"/>
      </w:r>
      <w:r>
        <w:rPr>
          <w:rFonts w:eastAsia="Georgia" w:cs="Georgia" w:ascii="Georgia" w:hAnsi="Georgia"/>
        </w:rPr>
        <w:t xml:space="preserve">12. Représenter l'allure des fonctions </w:t>
      </w:r>
      <m:oMath>
        <m:r>
          <m:rPr>
            <m:sty m:val="i"/>
          </m:rPr>
          <m:t>U</m:t>
        </m:r>
        <m:r>
          <m:rPr>
            <m:sty m:val="p"/>
          </m:rPr>
          <m:t>=</m:t>
        </m:r>
        <m:r>
          <m:rPr>
            <m:sty m:val="i"/>
          </m:rPr>
          <m:t>U</m:t>
        </m:r>
        <m:r>
          <m:rPr>
            <m:sty m:val="p"/>
          </m:rPr>
          <m:t>(</m:t>
        </m:r>
        <m:r>
          <m:rPr>
            <m:sty m:val="i"/>
          </m:rPr>
          <m:t>θ</m:t>
        </m:r>
        <m:r>
          <m:rPr>
            <m:sty m:val="p"/>
          </m:rPr>
          <m:t>)</m:t>
        </m:r>
      </m:oMath>
      <w:r>
        <w:rPr/>
        <w:t xml:space="preserve"> et </w:t>
      </w:r>
      <m:oMath>
        <m:sSub>
          <m:sSubPr/>
          <m:e>
            <m:r>
              <m:rPr>
                <m:sty m:val="i"/>
              </m:rPr>
              <m:t>X</m:t>
            </m:r>
          </m:e>
          <m:sub>
            <m:r>
              <m:rPr>
                <m:sty m:val="p"/>
              </m:rPr>
              <m:t>B</m:t>
            </m:r>
          </m:sub>
        </m:sSub>
        <m:r>
          <m:rPr>
            <m:sty m:val="p"/>
          </m:rPr>
          <m:t>=</m:t>
        </m:r>
        <m:sSub>
          <m:sSubPr/>
          <m:e>
            <m:r>
              <m:rPr>
                <m:sty m:val="i"/>
              </m:rPr>
              <m:t>X</m:t>
            </m:r>
          </m:e>
          <m:sub>
            <m:r>
              <m:rPr>
                <m:sty m:val="p"/>
              </m:rPr>
              <m:t>B</m:t>
            </m:r>
          </m:sub>
        </m:sSub>
        <m:r>
          <m:rPr>
            <m:sty m:val="p"/>
          </m:rPr>
          <m:t>(</m:t>
        </m:r>
        <m:r>
          <m:rPr>
            <m:sty m:val="i"/>
          </m:rPr>
          <m:t>θ</m:t>
        </m:r>
        <m:r>
          <m:rPr>
            <m:sty m:val="p"/>
          </m:rPr>
          <m:t>)</m:t>
        </m:r>
      </m:oMath>
      <w:r>
        <w:rPr>
          <w:rFonts w:eastAsia="Georgia" w:cs="Georgia" w:ascii="Georgia" w:hAnsi="Georgia"/>
        </w:rPr>
        <w:t xml:space="preserve"> sur quelques cycles adhérence-glissement (trois, par exemple). Donner une estimation de la largeur angulaire </w:t>
      </w:r>
      <m:oMath>
        <m:r>
          <m:rPr>
            <m:sty m:val="p"/>
          </m:rPr>
          <m:t>Δ</m:t>
        </m:r>
      </m:oMath>
      <w:r>
        <w:rPr>
          <w:rFonts w:eastAsia="Georgia" w:cs="Georgia" w:ascii="Georgia" w:hAnsi="Georgia"/>
        </w:rPr>
        <w:t xml:space="preserve"> d'un tel cycle pour le jeu de paramètres correspondant à la figure (2). Situer, dans ce cas, la fréquence </w:t>
      </w:r>
      <m:oMath>
        <m:sSup>
          <m:sSupPr/>
          <m:e>
            <m:r>
              <m:t xml:space="preserve"> </m:t>
            </m:r>
          </m:e>
          <m:sup>
            <m:r>
              <m:rPr>
                <m:sty m:val="p"/>
              </m:rPr>
              <m:t>2</m:t>
            </m:r>
          </m:sup>
        </m:sSup>
        <m:sSub>
          <m:sSubPr/>
          <m:e>
            <m:r>
              <m:rPr>
                <m:sty m:val="i"/>
              </m:rPr>
              <m:t>f</m:t>
            </m:r>
          </m:e>
          <m:sub>
            <m:r>
              <m:rPr>
                <m:sty m:val="p"/>
              </m:rPr>
              <m:t>ss</m:t>
            </m:r>
          </m:sub>
        </m:sSub>
      </m:oMath>
      <w:r>
        <w:rPr>
          <w:rFonts w:eastAsia="Georgia" w:cs="Georgia" w:ascii="Georgia" w:hAnsi="Georgia"/>
        </w:rPr>
        <w:t xml:space="preserve"> (temporelle) de ce phénomène de stick-slip par rapport à la fréquence propre </w:t>
      </w:r>
      <m:oMath>
        <m:sSub>
          <m:sSubPr/>
          <m:e>
            <m:r>
              <m:rPr>
                <m:sty m:val="i"/>
              </m:rPr>
              <m:t>f</m:t>
            </m:r>
          </m:e>
          <m:sub>
            <m:r>
              <m:rPr>
                <m:sty m:val="p"/>
              </m:rPr>
              <m:t>0</m:t>
            </m:r>
          </m:sub>
        </m:sSub>
      </m:oMath>
      <w:r>
        <w:rPr>
          <w:rFonts w:eastAsia="Georgia" w:cs="Georgia" w:ascii="Georgia" w:hAnsi="Georgia"/>
        </w:rPr>
        <w:t xml:space="preserve"> de l'oscillateur mécanique.</w:t>
      </w:r>
      <w:r>
        <w:rPr/>
        <w:br w:type="textWrapping"/>
      </w:r>
      <w:r>
        <w:rPr>
          <w:rFonts w:eastAsia="Georgia" w:cs="Georgia" w:ascii="Georgia" w:hAnsi="Georgia"/>
        </w:rPr>
        <w:t xml:space="preserve">13. On peut établir une analogie entre les oscillations de ce système mécanique et des oscillations autoentretenues en électronique. Dans la situation que nous venons d'étudier (correspondant à la figure (2)), est-ce plutôt un oscillateur (quasi)harmonique ou un oscillateur de relaxation? Indiquer quel élément joue ici le rôle de l'alimentation de tension continue en électronique assurant l'entretien des oscillations.</w:t>
      </w:r>
    </w:p>
    <w:p>
      <w:pPr>
        <w:spacing w:line="271" w:before="330" w:lineRule="auto"/>
      </w:pPr>
      <w:r>
        <w:rPr>
          <w:rFonts w:eastAsia="Georgia" w:cs="Georgia" w:ascii="Georgia" w:hAnsi="Georgia"/>
          <w:b/>
          <w:sz w:val="42"/>
        </w:rPr>
        <w:t xml:space="preserve">2 Application au cas du frottement d'un bâton de craie contre la surface d'un tableau.</w:t>
      </w:r>
    </w:p>
    <w:p>
      <w:pPr>
        <w:spacing w:after="220" w:lineRule="auto"/>
      </w:pPr>
      <w:r>
        <w:rPr>
          <w:rFonts w:eastAsia="Georgia" w:cs="Georgia" w:ascii="Georgia" w:hAnsi="Georgia"/>
        </w:rPr>
        <w:t xml:space="preserve">Il s'agit, à la lumière de l'étude conduite dans la partie (1), d'estimer l'ordre de grandeur de la fréquence du son émis lors du frottement d'un bâton de craie contre la surface d'un tableau.</w:t>
      </w:r>
    </w:p>
    <w:p>
      <w:pPr>
        <w:spacing w:after="220" w:lineRule="auto"/>
      </w:pPr>
      <w:r>
        <w:rPr>
          <w:rFonts w:eastAsia="Georgia" w:cs="Georgia" w:ascii="Georgia" w:hAnsi="Georgia"/>
        </w:rPr>
        <w:t xml:space="preserve">Un bâton de craie est un système continu qui se comporte à la fois comme une masse et comme un ressort (on parle de système à masse et raideur réparties). Il s'agira, dans une première étape, de déterminer le modèle discret masse-ressort qui lui est alors équivalent (dans un certain cadre). Nous notons </w:t>
      </w:r>
      <m:oMath>
        <m:r>
          <m:rPr>
            <m:sty m:val="i"/>
          </m:rPr>
          <m:t>ρ</m:t>
        </m:r>
      </m:oMath>
      <w:r>
        <w:rPr/>
        <w:t xml:space="preserve"> et </w:t>
      </w:r>
      <m:oMath>
        <m:r>
          <m:rPr>
            <m:sty m:val="i"/>
          </m:rPr>
          <m:t>E</m:t>
        </m:r>
      </m:oMath>
      <w:r>
        <w:rPr>
          <w:rFonts w:eastAsia="Georgia" w:cs="Georgia" w:ascii="Georgia" w:hAnsi="Georgia"/>
        </w:rPr>
        <w:t xml:space="preserve"> respectivement la masse volumique et le module d'élasticité du matériau (en grande partie du carbonate de calcium) constituant la craie, </w:t>
      </w:r>
      <m:oMath>
        <m:sSub>
          <m:sSubPr/>
          <m:e>
            <m:r>
              <m:rPr>
                <m:sty m:val="i"/>
              </m:rPr>
              <m:t>L</m:t>
            </m:r>
          </m:e>
          <m:sub>
            <m:r>
              <m:rPr>
                <m:sty m:val="p"/>
              </m:rPr>
              <m:t>0</m:t>
            </m:r>
          </m:sub>
        </m:sSub>
      </m:oMath>
      <w:r>
        <w:rPr/>
        <w:t xml:space="preserve"> sa longueur et </w:t>
      </w:r>
      <m:oMath>
        <m:r>
          <m:rPr>
            <m:sty m:val="i"/>
          </m:rPr>
          <m:t>S</m:t>
        </m:r>
        <m:r>
          <m:rPr>
            <m:sty m:val="p"/>
          </m:rPr>
          <m:t>=</m:t>
        </m:r>
        <m:r>
          <m:rPr>
            <m:sty m:val="i"/>
          </m:rPr>
          <m:t>h</m:t>
        </m:r>
        <m:r>
          <m:rPr>
            <m:sty m:val="p"/>
          </m:rPr>
          <m:t>×</m:t>
        </m:r>
        <m:r>
          <m:rPr>
            <m:sty m:val="i"/>
          </m:rPr>
          <m:t>h</m:t>
        </m:r>
        <m:r>
          <m:rPr>
            <m:sty m:val="p"/>
          </m:rPr>
          <m:t>=</m:t>
        </m:r>
        <m:sSub>
          <m:sSubPr/>
          <m:e>
            <m:r>
              <m:rPr>
                <m:sty m:val="i"/>
              </m:rPr>
              <m:t>L</m:t>
            </m:r>
          </m:e>
          <m:sub>
            <m:r>
              <m:rPr>
                <m:sty m:val="i"/>
              </m:rPr>
              <m:t>x</m:t>
            </m:r>
          </m:sub>
        </m:sSub>
        <m:r>
          <m:rPr>
            <m:sty m:val="p"/>
          </m:rPr>
          <m:t>×</m:t>
        </m:r>
        <m:sSub>
          <m:sSubPr/>
          <m:e>
            <m:r>
              <m:rPr>
                <m:sty m:val="i"/>
              </m:rPr>
              <m:t>L</m:t>
            </m:r>
          </m:e>
          <m:sub>
            <m:r>
              <m:rPr>
                <m:sty m:val="i"/>
              </m:rPr>
              <m:t>z</m:t>
            </m:r>
          </m:sub>
        </m:sSub>
      </m:oMath>
      <w:r>
        <w:rPr>
          <w:rFonts w:eastAsia="Georgia" w:cs="Georgia" w:ascii="Georgia" w:hAnsi="Georgia"/>
        </w:rPr>
        <w:t xml:space="preserve"> sa section (carrée).</w:t>
      </w:r>
    </w:p>
    <w:p>
      <w:pPr>
        <w:spacing w:line="271" w:before="240" w:lineRule="auto"/>
      </w:pPr>
      <w:r>
        <w:rPr>
          <w:rFonts w:eastAsia="Georgia" w:cs="Georgia" w:ascii="Georgia" w:hAnsi="Georgia"/>
          <w:b/>
          <w:sz w:val="33"/>
        </w:rPr>
        <w:t xml:space="preserve">2.1 Modélisation.</w:t>
      </w:r>
    </w:p>
    <w:p>
      <w:pPr>
        <w:spacing w:after="220" w:lineRule="auto"/>
      </w:pPr>
      <w:r>
        <w:rPr>
          <w:rFonts w:eastAsia="Georgia" w:cs="Georgia" w:ascii="Georgia" w:hAnsi="Georgia"/>
        </w:rPr>
        <w:t xml:space="preserve">Cette partie est consacrée à la mise en place des modèles cinétique et élastique associés à la déformation en flexion du bâton de craie.</w:t>
      </w:r>
      <w:r>
        <w:rPr/>
        <w:br w:type="textWrapping"/>
      </w:r>
      <w:r>
        <w:rPr>
          <w:rFonts w:eastAsia="Georgia" w:cs="Georgia" w:ascii="Georgia" w:hAnsi="Georgia"/>
        </w:rPr>
        <w:t xml:space="preserve">14. La figure (4) représente une barre de module d'élasticité </w:t>
      </w:r>
      <m:oMath>
        <m:r>
          <m:rPr>
            <m:sty m:val="i"/>
          </m:rPr>
          <m:t>E</m:t>
        </m:r>
      </m:oMath>
      <w:r>
        <w:rPr/>
        <w:t xml:space="preserve"> (qui a la dimension du rapport d'une force sur une surface), de section uniforme </w:t>
      </w:r>
      <m:oMath>
        <m:r>
          <m:rPr>
            <m:sty m:val="i"/>
          </m:rPr>
          <m:t>S</m:t>
        </m:r>
      </m:oMath>
      <w:r>
        <w:rPr>
          <w:rFonts w:eastAsia="Georgia" w:cs="Georgia" w:ascii="Georgia" w:hAnsi="Georgia"/>
        </w:rPr>
        <w:t xml:space="preserve"> et de longueur "à vide" </w:t>
      </w:r>
      <m:oMath>
        <m:sSub>
          <m:sSubPr/>
          <m:e>
            <m:r>
              <m:rPr>
                <m:sty m:val="i"/>
              </m:rPr>
              <m:t>ℓ</m:t>
            </m:r>
          </m:e>
          <m:sub>
            <m:r>
              <m:rPr>
                <m:sty m:val="p"/>
              </m:rPr>
              <m:t>0</m:t>
            </m:r>
          </m:sub>
        </m:sSub>
      </m:oMath>
      <w:r>
        <w:rPr>
          <w:rFonts w:eastAsia="Georgia" w:cs="Georgia" w:ascii="Georgia" w:hAnsi="Georgia"/>
        </w:rPr>
        <w:t xml:space="preserve">. Sa section inférieure (point O ) est supposée rester solidaire d'un support fixe (0). Sous l'action d'une force </w:t>
      </w:r>
      <m:oMath>
        <m:acc>
          <m:accPr>
            <m:chr m:val="⃗"/>
          </m:accPr>
          <m:e>
            <m:r>
              <m:rPr>
                <m:sty m:val="i"/>
              </m:rPr>
              <m:t>F</m:t>
            </m:r>
          </m:e>
        </m:acc>
        <m:r>
          <m:rPr>
            <m:sty m:val="p"/>
          </m:rPr>
          <m:t>=</m:t>
        </m:r>
        <m:r>
          <m:rPr>
            <m:sty m:val="i"/>
          </m:rPr>
          <m:t>F</m:t>
        </m:r>
        <m:sSub>
          <m:sSubPr/>
          <m:e>
            <m:acc>
              <m:accPr>
                <m:chr m:val="⃗"/>
              </m:accPr>
              <m:e>
                <m:r>
                  <m:rPr>
                    <m:sty m:val="i"/>
                  </m:rPr>
                  <m:t>e</m:t>
                </m:r>
              </m:e>
            </m:acc>
          </m:e>
          <m:sub>
            <m:r>
              <m:rPr>
                <m:sty m:val="p"/>
              </m:rPr>
              <m:t>Δ</m:t>
            </m:r>
          </m:sub>
        </m:sSub>
      </m:oMath>
      <w:r>
        <w:rPr/>
        <w:t xml:space="preserve"> agissant selon son axe </w:t>
      </w:r>
      <m:oMath>
        <m:r>
          <m:rPr>
            <m:sty m:val="p"/>
          </m:rPr>
          <m:t>Δ</m:t>
        </m:r>
      </m:oMath>
      <w:r>
        <w:rPr>
          <w:rFonts w:eastAsia="Georgia" w:cs="Georgia" w:ascii="Georgia" w:hAnsi="Georgia"/>
        </w:rPr>
        <w:t xml:space="preserve">, sa longueur s'accroît (algébriquement) de </w:t>
      </w:r>
      <m:oMath>
        <m:r>
          <m:rPr>
            <m:sty m:val="i"/>
          </m:rPr>
          <m:t>ℓ</m:t>
        </m:r>
        <m:r>
          <m:rPr>
            <m:sty m:val="p"/>
          </m:rPr>
          <m:t>−</m:t>
        </m:r>
        <m:sSub>
          <m:sSubPr/>
          <m:e>
            <m:r>
              <m:rPr>
                <m:sty m:val="i"/>
              </m:rPr>
              <m:t>ℓ</m:t>
            </m:r>
          </m:e>
          <m:sub>
            <m:r>
              <m:rPr>
                <m:sty m:val="p"/>
              </m:rPr>
              <m:t>0</m:t>
            </m:r>
          </m:sub>
        </m:sSub>
      </m:oMath>
      <w:r>
        <w:rPr/>
        <w:t xml:space="preserve">.</w:t>
      </w:r>
      <w:r>
        <w:rPr/>
        <w:br w:type="textWrapping"/>
      </w:r>
      <w:r>
        <w:rPr/>
        <w:t xml:space="preserve">Exprimer, en fonction de </w:t>
      </w:r>
      <m:oMath>
        <m:r>
          <m:rPr>
            <m:sty m:val="i"/>
          </m:rPr>
          <m:t>E</m:t>
        </m:r>
        <m:r>
          <m:rPr>
            <m:sty m:val="p"/>
          </m:rPr>
          <m:t>,</m:t>
        </m:r>
        <m:r>
          <m:rPr>
            <m:sty m:val="i"/>
          </m:rPr>
          <m:t>S</m:t>
        </m:r>
        <m:r>
          <m:rPr>
            <m:sty m:val="p"/>
          </m:rPr>
          <m:t>,</m:t>
        </m:r>
        <m:sSub>
          <m:sSubPr/>
          <m:e>
            <m:r>
              <m:rPr>
                <m:sty m:val="i"/>
              </m:rPr>
              <m:t>ℓ</m:t>
            </m:r>
          </m:e>
          <m:sub>
            <m:r>
              <m:rPr>
                <m:sty m:val="p"/>
              </m:rPr>
              <m:t>0</m:t>
            </m:r>
          </m:sub>
        </m:sSub>
      </m:oMath>
      <w:r>
        <w:rPr/>
        <w:t xml:space="preserve"> et </w:t>
      </w:r>
      <m:oMath>
        <m:r>
          <m:rPr>
            <m:sty m:val="i"/>
          </m:rPr>
          <m:t>ℓ</m:t>
        </m:r>
      </m:oMath>
      <w:r>
        <w:rPr/>
        <w:t xml:space="preserve">, la force </w:t>
      </w:r>
      <m:oMath>
        <m:r>
          <m:rPr>
            <m:sty m:val="i"/>
          </m:rPr>
          <m:t>F</m:t>
        </m:r>
        <m:r>
          <m:rPr>
            <m:sty m:val="p"/>
          </m:rPr>
          <m:t>(</m:t>
        </m:r>
        <m:r>
          <m:rPr>
            <m:sty m:val="i"/>
          </m:rPr>
          <m:t>ℓ</m:t>
        </m:r>
        <m:r>
          <m:rPr>
            <m:sty m:val="p"/>
          </m:rPr>
          <m:t>)</m:t>
        </m:r>
      </m:oMath>
      <w:r>
        <w:rPr>
          <w:rFonts w:eastAsia="Georgia" w:cs="Georgia" w:ascii="Georgia" w:hAnsi="Georgia"/>
        </w:rPr>
        <w:t xml:space="preserve"> qu'il faut appliquer à la barre pour la maintenir en situation d'équilibre correspondant à la longueur </w:t>
      </w:r>
      <m:oMath>
        <m:r>
          <m:rPr>
            <m:sty m:val="i"/>
          </m:rPr>
          <m:t>ℓ</m:t>
        </m:r>
      </m:oMath>
      <w:r>
        <w:rPr/>
        <w:t xml:space="preserve">.</w:t>
      </w:r>
      <w:r>
        <w:rPr/>
        <w:br w:type="textWrapping"/>
      </w:r>
      <w:r>
        <w:rPr/>
        <w:t xml:space="preserve">15. Exprimer, en fonction de </w:t>
      </w:r>
      <m:oMath>
        <m:r>
          <m:rPr>
            <m:sty m:val="i"/>
          </m:rPr>
          <m:t>E</m:t>
        </m:r>
        <m:r>
          <m:rPr>
            <m:sty m:val="p"/>
          </m:rPr>
          <m:t>,</m:t>
        </m:r>
        <m:r>
          <m:rPr>
            <m:sty m:val="i"/>
          </m:rPr>
          <m:t>S</m:t>
        </m:r>
        <m:r>
          <m:rPr>
            <m:sty m:val="p"/>
          </m:rPr>
          <m:t>,</m:t>
        </m:r>
        <m:sSub>
          <m:sSubPr/>
          <m:e>
            <m:r>
              <m:rPr>
                <m:sty m:val="i"/>
              </m:rPr>
              <m:t>ℓ</m:t>
            </m:r>
          </m:e>
          <m:sub>
            <m:r>
              <m:rPr>
                <m:sty m:val="p"/>
              </m:rPr>
              <m:t>0</m:t>
            </m:r>
          </m:sub>
        </m:sSub>
      </m:oMath>
      <w:r>
        <w:rPr/>
        <w:t xml:space="preserve"> et </w:t>
      </w:r>
      <m:oMath>
        <m:r>
          <m:rPr>
            <m:sty m:val="i"/>
          </m:rPr>
          <m:t>ℓ</m:t>
        </m:r>
      </m:oMath>
      <w:r>
        <w:rPr>
          <w:rFonts w:eastAsia="Georgia" w:cs="Georgia" w:ascii="Georgia" w:hAnsi="Georgia"/>
        </w:rPr>
        <w:t xml:space="preserve">, l'énergie potentielle élastique </w:t>
      </w:r>
      <m:oMath>
        <m:sSub>
          <m:sSubPr/>
          <m:e>
            <m:r>
              <m:rPr>
                <m:sty m:val="i"/>
              </m:rPr>
              <m:t>E</m:t>
            </m:r>
          </m:e>
          <m:sub>
            <m:r>
              <m:rPr>
                <m:sty m:val="p"/>
              </m:rPr>
              <m:t>p</m:t>
            </m:r>
          </m:sub>
        </m:sSub>
      </m:oMath>
      <w:r>
        <w:rPr>
          <w:rFonts w:eastAsia="Georgia" w:cs="Georgia" w:ascii="Georgia" w:hAnsi="Georgia"/>
        </w:rPr>
        <w:t xml:space="preserve"> emmagasinée par la barre au cours de son évolution de </w:t>
      </w:r>
      <m:oMath>
        <m:sSub>
          <m:sSubPr/>
          <m:e>
            <m:r>
              <m:rPr>
                <m:sty m:val="i"/>
              </m:rPr>
              <m:t>ℓ</m:t>
            </m:r>
          </m:e>
          <m:sub>
            <m:r>
              <m:rPr>
                <m:sty m:val="p"/>
              </m:rPr>
              <m:t>0</m:t>
            </m:r>
          </m:sub>
        </m:sSub>
      </m:oMath>
      <w:r>
        <w:rPr>
          <w:rFonts w:eastAsia="Georgia" w:cs="Georgia" w:ascii="Georgia" w:hAnsi="Georgia"/>
        </w:rPr>
        <w:t xml:space="preserve"> à </w:t>
      </w:r>
      <m:oMath>
        <m:r>
          <m:rPr>
            <m:sty m:val="i"/>
          </m:rPr>
          <m:t>ℓ</m:t>
        </m:r>
      </m:oMath>
      <w:r>
        <w:rPr/>
        <w:t xml:space="preserve">.</w:t>
      </w:r>
    </w:p>
    <w:p>
      <w:pPr>
        <w:numPr>
          <w:ilvl w:val="0"/>
          <w:numId w:val="12"/>
        </w:numPr>
        <w:spacing w:lineRule="auto"/>
      </w:pPr>
      <w:r>
        <w:rPr>
          <w:rFonts w:eastAsia="Georgia" w:cs="Georgia" w:ascii="Georgia" w:hAnsi="Georgia"/>
        </w:rPr>
        <w:t xml:space="preserve">Le bâton de craie (1) est placé verticalement. Son extrémité inférieure (point Q) est en contact avec la surface horizontale du tableau (0). Son extrémité supérieure (point B) est maintenue rigidement (par un encastrement) par un support (3) qui est entraîné, parallèlement à la surface du tableau, à la vitesse constante </w:t>
      </w:r>
      <m:oMath>
        <m:sSub>
          <m:sSubPr/>
          <m:e>
            <m:acc>
              <m:accPr>
                <m:chr m:val="⃗"/>
              </m:accPr>
              <m:e>
                <m:r>
                  <m:rPr>
                    <m:sty m:val="i"/>
                  </m:rPr>
                  <m:t>V</m:t>
                </m:r>
              </m:e>
            </m:acc>
          </m:e>
          <m:sub>
            <m:r>
              <m:rPr>
                <m:sty m:val="p"/>
              </m:rPr>
              <m:t>B</m:t>
            </m:r>
          </m:sub>
        </m:sSub>
        <m:r>
          <m:rPr>
            <m:sty m:val="p"/>
          </m:rPr>
          <m:t>=</m:t>
        </m:r>
        <m:sSub>
          <m:sSubPr/>
          <m:e>
            <m:r>
              <m:rPr>
                <m:sty m:val="i"/>
              </m:rPr>
              <m:t>V</m:t>
            </m:r>
          </m:e>
          <m:sub>
            <m:r>
              <m:rPr>
                <m:sty m:val="p"/>
              </m:rPr>
              <m:t>B</m:t>
            </m:r>
          </m:sub>
        </m:sSub>
        <m:sSub>
          <m:sSubPr/>
          <m:e>
            <m:acc>
              <m:accPr>
                <m:chr m:val="⃗"/>
              </m:accPr>
              <m:e>
                <m:r>
                  <m:rPr>
                    <m:sty m:val="i"/>
                  </m:rPr>
                  <m:t>e</m:t>
                </m:r>
              </m:e>
            </m:acc>
          </m:e>
          <m:sub>
            <m:r>
              <m:rPr>
                <m:sty m:val="i"/>
              </m:rPr>
              <m:t>x</m:t>
            </m:r>
          </m:sub>
        </m:sSub>
      </m:oMath>
      <w:r>
        <w:rPr>
          <w:rFonts w:eastAsia="Georgia" w:cs="Georgia" w:ascii="Georgia" w:hAnsi="Georgia"/>
        </w:rPr>
        <w:t xml:space="preserve"> (ce support modélise la main tenant le bâton de craie).</w:t>
      </w:r>
    </w:p>
    <w:p>
      <w:pPr>
        <w:spacing w:after="220" w:lineRule="auto"/>
      </w:pPr>
      <w:r>
        <w:rPr/>
        <w:t xml:space="preserve">Nous notons </w:t>
      </w:r>
      <m:oMath>
        <m:acc>
          <m:accPr>
            <m:chr m:val="⃗"/>
          </m:accPr>
          <m:e>
            <m:r>
              <m:rPr>
                <m:sty m:val="i"/>
              </m:rPr>
              <m:t>R</m:t>
            </m:r>
          </m:e>
        </m:acc>
        <m:r>
          <m:rPr>
            <m:sty m:val="p"/>
          </m:rPr>
          <m:t>=</m:t>
        </m:r>
        <m:r>
          <m:rPr>
            <m:sty m:val="i"/>
          </m:rPr>
          <m:t>T</m:t>
        </m:r>
        <m:sSub>
          <m:sSubPr/>
          <m:e>
            <m:acc>
              <m:accPr>
                <m:chr m:val="⃗"/>
              </m:accPr>
              <m:e>
                <m:r>
                  <m:rPr>
                    <m:sty m:val="i"/>
                  </m:rPr>
                  <m:t>e</m:t>
                </m:r>
              </m:e>
            </m:acc>
          </m:e>
          <m:sub>
            <m:r>
              <m:rPr>
                <m:sty m:val="i"/>
              </m:rPr>
              <m:t>x</m:t>
            </m:r>
          </m:sub>
        </m:sSub>
        <m:r>
          <m:rPr>
            <m:sty m:val="p"/>
          </m:rPr>
          <m:t>+</m:t>
        </m:r>
        <m:r>
          <m:rPr>
            <m:sty m:val="i"/>
          </m:rPr>
          <m:t>N</m:t>
        </m:r>
        <m:sSub>
          <m:sSubPr/>
          <m:e>
            <m:acc>
              <m:accPr>
                <m:chr m:val="⃗"/>
              </m:accPr>
              <m:e>
                <m:r>
                  <m:rPr>
                    <m:sty m:val="i"/>
                  </m:rPr>
                  <m:t>e</m:t>
                </m:r>
              </m:e>
            </m:acc>
          </m:e>
          <m:sub>
            <m:r>
              <m:rPr>
                <m:sty m:val="i"/>
              </m:rPr>
              <m:t>y</m:t>
            </m:r>
          </m:sub>
        </m:sSub>
        <m:r>
          <m:rPr>
            <m:sty m:val="p"/>
          </m:rPr>
          <m:t>(</m:t>
        </m:r>
        <m:r>
          <m:rPr>
            <m:sty m:val="i"/>
          </m:rPr>
          <m:t>N</m:t>
        </m:r>
        <m:r>
          <m:rPr>
            <m:sty m:val="p"/>
          </m:rPr>
          <m:t>=</m:t>
        </m:r>
      </m:oMath>
      <w:r>
        <w:rPr/>
        <w:t xml:space="preserve"> Cste </w:t>
      </w:r>
      <m:oMath>
        <m:r>
          <m:rPr>
            <m:sty m:val="p"/>
          </m:rPr>
          <m:t>≥</m:t>
        </m:r>
        <m:r>
          <m:rPr>
            <m:sty m:val="p"/>
          </m:rPr>
          <m:t>0</m:t>
        </m:r>
        <m:r>
          <m:rPr>
            <m:sty m:val="p"/>
          </m:rPr>
          <m:t>)</m:t>
        </m:r>
      </m:oMath>
      <w:r>
        <w:rPr>
          <w:rFonts w:eastAsia="Georgia" w:cs="Georgia" w:ascii="Georgia" w:hAnsi="Georgia"/>
        </w:rPr>
        <w:t xml:space="preserve"> la résultante des actions de contact qu'exerce la surface (0) sur le bâton de craie (1), au point Q . La composante </w:t>
      </w:r>
      <m:oMath>
        <m:r>
          <m:rPr>
            <m:sty m:val="i"/>
          </m:rPr>
          <m:t>N</m:t>
        </m:r>
      </m:oMath>
      <w:r>
        <w:rPr>
          <w:rFonts w:eastAsia="Georgia" w:cs="Georgia" w:ascii="Georgia" w:hAnsi="Georgia"/>
        </w:rPr>
        <w:t xml:space="preserve"> est la conséquence de l'appui du bâton de craie contre le tableau (l'action de la pesanteur n'est pas considérée). La section du bâton est carrée ( </w:t>
      </w:r>
      <m:oMath>
        <m:sSub>
          <m:sSubPr/>
          <m:e>
            <m:r>
              <m:rPr>
                <m:sty m:val="i"/>
              </m:rPr>
              <m:t>L</m:t>
            </m:r>
          </m:e>
          <m:sub>
            <m:r>
              <m:rPr>
                <m:sty m:val="i"/>
              </m:rPr>
              <m:t>x</m:t>
            </m:r>
          </m:sub>
        </m:sSub>
        <m:r>
          <m:rPr>
            <m:sty m:val="p"/>
          </m:rPr>
          <m:t>=</m:t>
        </m:r>
        <m:r>
          <m:rPr>
            <m:sty m:val="i"/>
          </m:rPr>
          <m:t>h</m:t>
        </m:r>
      </m:oMath>
      <w:r>
        <w:rPr/>
        <w:t xml:space="preserve"> et </w:t>
      </w:r>
      <m:oMath>
        <m:sSub>
          <m:sSubPr/>
          <m:e>
            <m:r>
              <m:rPr>
                <m:sty m:val="i"/>
              </m:rPr>
              <m:t>L</m:t>
            </m:r>
          </m:e>
          <m:sub>
            <m:r>
              <m:rPr>
                <m:sty m:val="i"/>
              </m:rPr>
              <m:t>z</m:t>
            </m:r>
          </m:sub>
        </m:sSub>
        <m:r>
          <m:rPr>
            <m:sty m:val="p"/>
          </m:rPr>
          <m:t>=</m:t>
        </m:r>
        <m:r>
          <m:rPr>
            <m:sty m:val="i"/>
          </m:rPr>
          <m:t>h</m:t>
        </m:r>
      </m:oMath>
      <w:r>
        <w:rPr>
          <w:rFonts w:eastAsia="Georgia" w:cs="Georgia" w:ascii="Georgia" w:hAnsi="Georgia"/>
        </w:rPr>
        <w:t xml:space="preserve"> ). La figure (5)-(a) représente l'ensemble ((0), (1), (3)). Le paramétrage de la déformation du bâton de craie est représenté sur la figure (5)-(b).</w:t>
      </w:r>
    </w:p>
    <w:p>
      <w:pPr>
        <w:spacing w:lineRule="auto"/>
        <w:jc w:val="center"/>
      </w:pPr>
      <w:r>
        <w:rPr/>
        <w:drawing>
          <wp:inline distB="0" distL="0" distR="0" distT="0">
            <wp:extent cx="5486400" cy="4074850"/>
            <wp:effectExtent b="0" l="0" r="0" t="0"/>
            <wp:docPr id="4" name="image-eaf4460ab1e8e545ebd2fb3b120fe94ab5642d88.jpg"/>
            <a:graphic>
              <a:graphicData uri="http://schemas.openxmlformats.org/drawingml/2006/picture">
                <pic:pic>
                  <pic:nvPicPr>
                    <pic:cNvPr id="4" name="image-eaf4460ab1e8e545ebd2fb3b120fe94ab5642d88.jpg" descr=""/>
                    <pic:cNvPicPr/>
                  </pic:nvPicPr>
                  <pic:blipFill>
                    <a:blip r:embed="rId8" cstate="print"/>
                    <a:srcRect b="0" l="0" r="0" t="0"/>
                    <a:stretch>
                      <a:fillRect/>
                    </a:stretch>
                  </pic:blipFill>
                  <pic:spPr>
                    <a:xfrm>
                      <a:off x="0" y="0"/>
                      <a:ext cx="5486400" cy="4074850"/>
                    </a:xfrm>
                    <a:prstGeom prst="rect"/>
                  </pic:spPr>
                </pic:pic>
              </a:graphicData>
            </a:graphic>
          </wp:inline>
        </w:drawing>
      </w:r>
    </w:p>
    <w:p>
      <w:pPr>
        <w:spacing w:lineRule="auto"/>
      </w:pPr>
      <w:r>
        <w:rPr>
          <w:rFonts w:eastAsia="Georgia" w:cs="Georgia" w:ascii="Georgia" w:hAnsi="Georgia"/>
        </w:rPr>
        <w:t xml:space="preserve">Figure 4 - Déformation d'une barre sollicitée et traction ou compression par une force axiale.</w:t>
      </w:r>
    </w:p>
    <w:p>
      <w:pPr>
        <w:spacing w:lineRule="auto"/>
        <w:jc w:val="center"/>
      </w:pPr>
      <w:r>
        <w:rPr/>
        <w:drawing>
          <wp:inline distB="0" distL="0" distR="0" distT="0">
            <wp:extent cx="5486400" cy="2385663"/>
            <wp:effectExtent b="0" l="0" r="0" t="0"/>
            <wp:docPr id="5" name="image-7829981f2c19c36a534f11939738050035c16259.jpg"/>
            <a:graphic>
              <a:graphicData uri="http://schemas.openxmlformats.org/drawingml/2006/picture">
                <pic:pic>
                  <pic:nvPicPr>
                    <pic:cNvPr id="5" name="image-7829981f2c19c36a534f11939738050035c16259.jpg" descr=""/>
                    <pic:cNvPicPr/>
                  </pic:nvPicPr>
                  <pic:blipFill>
                    <a:blip r:embed="rId9" cstate="print"/>
                    <a:srcRect b="0" l="0" r="0" t="0"/>
                    <a:stretch>
                      <a:fillRect/>
                    </a:stretch>
                  </pic:blipFill>
                  <pic:spPr>
                    <a:xfrm>
                      <a:off x="0" y="0"/>
                      <a:ext cx="5486400" cy="2385663"/>
                    </a:xfrm>
                    <a:prstGeom prst="rect"/>
                  </pic:spPr>
                </pic:pic>
              </a:graphicData>
            </a:graphic>
          </wp:inline>
        </w:drawing>
      </w:r>
    </w:p>
    <w:p>
      <w:pPr>
        <w:spacing w:lineRule="auto"/>
      </w:pPr>
      <w:r>
        <w:rPr>
          <w:rFonts w:eastAsia="Georgia" w:cs="Georgia" w:ascii="Georgia" w:hAnsi="Georgia"/>
        </w:rPr>
        <w:t xml:space="preserve">Figure 5 - Bâton de craie maintenu appuyé contre la surface d'un tableau et déplacé horizontalement à la vitesse </w:t>
      </w:r>
      <m:oMath>
        <m:sSub>
          <m:sSubPr/>
          <m:e>
            <m:acc>
              <m:accPr>
                <m:chr m:val="⃗"/>
              </m:accPr>
              <m:e>
                <m:r>
                  <m:rPr>
                    <m:sty m:val="i"/>
                  </m:rPr>
                  <m:t>V</m:t>
                </m:r>
              </m:e>
            </m:acc>
          </m:e>
          <m:sub>
            <m:r>
              <m:rPr>
                <m:sty m:val="p"/>
              </m:rPr>
              <m:t>B</m:t>
            </m:r>
          </m:sub>
        </m:sSub>
      </m:oMath>
      <w:r>
        <w:rPr>
          <w:rFonts w:eastAsia="Georgia" w:cs="Georgia" w:ascii="Georgia" w:hAnsi="Georgia"/>
        </w:rPr>
        <w:t xml:space="preserve"> : (a) Ensemble ((0), (1), (3)); (b) Paramétrage de la déformation en flexion du bâton de craie.</w:t>
      </w:r>
    </w:p>
    <w:p>
      <w:pPr>
        <w:spacing w:after="220" w:lineRule="auto"/>
      </w:pPr>
      <w:r>
        <w:rPr>
          <w:rFonts w:eastAsia="Georgia" w:cs="Georgia" w:ascii="Georgia" w:hAnsi="Georgia"/>
        </w:rPr>
        <w:t xml:space="preserve">Le fléchissement du bâton de craie étant "faible" ( </w:t>
      </w:r>
      <m:oMath>
        <m:r>
          <m:rPr>
            <m:sty m:val="p"/>
          </m:rPr>
          <m:t>|</m:t>
        </m:r>
        <m:r>
          <m:rPr>
            <m:sty m:val="i"/>
          </m:rPr>
          <m:t>q</m:t>
        </m:r>
        <m:r>
          <m:rPr>
            <m:sty m:val="p"/>
          </m:rPr>
          <m:t>|</m:t>
        </m:r>
        <m:r>
          <m:rPr>
            <m:sty m:val="p"/>
          </m:rPr>
          <m:t>≪</m:t>
        </m:r>
        <m:sSub>
          <m:sSubPr/>
          <m:e>
            <m:r>
              <m:rPr>
                <m:sty m:val="i"/>
              </m:rPr>
              <m:t>L</m:t>
            </m:r>
          </m:e>
          <m:sub>
            <m:r>
              <m:rPr>
                <m:sty m:val="p"/>
              </m:rPr>
              <m:t>0</m:t>
            </m:r>
          </m:sub>
        </m:sSub>
      </m:oMath>
      <w:r>
        <w:rPr>
          <w:rFonts w:eastAsia="Georgia" w:cs="Georgia" w:ascii="Georgia" w:hAnsi="Georgia"/>
        </w:rPr>
        <w:t xml:space="preserve"> ), nous adoptons le cadre d'hypothèses suivant :</w:t>
      </w:r>
    </w:p>
    <w:p>
      <w:pPr>
        <w:numPr>
          <w:ilvl w:val="0"/>
          <w:numId w:val="13"/>
        </w:numPr>
        <w:spacing w:lineRule="auto"/>
      </w:pPr>
      <w:r>
        <w:rPr>
          <w:rFonts w:eastAsia="Georgia" w:cs="Georgia" w:ascii="Georgia" w:hAnsi="Georgia"/>
        </w:rPr>
        <w:t xml:space="preserve">Le bâton de craie se déforme selon un arc de cercle </w:t>
      </w:r>
      <m:oMath>
        <m:sSup>
          <m:sSupPr/>
          <m:e>
            <m:r>
              <m:t xml:space="preserve"> </m:t>
            </m:r>
          </m:e>
          <m:sup>
            <m:r>
              <m:rPr>
                <m:sty m:val="p"/>
              </m:rPr>
              <m:t>3</m:t>
            </m:r>
          </m:sup>
        </m:sSup>
      </m:oMath>
      <w:r>
        <w:rPr/>
        <w:t xml:space="preserve">. Nous notons </w:t>
      </w:r>
      <m:oMath>
        <m:r>
          <m:rPr>
            <m:sty m:val="i"/>
          </m:rPr>
          <m:t>R</m:t>
        </m:r>
      </m:oMath>
      <w:r>
        <w:rPr/>
        <w:t xml:space="preserve"> son rayon (rayon de courbure) et C son centre de courbure ;</w:t>
      </w:r>
    </w:p>
    <w:p>
      <w:pPr>
        <w:numPr>
          <w:ilvl w:val="0"/>
          <w:numId w:val="13"/>
        </w:numPr>
        <w:spacing w:lineRule="auto"/>
      </w:pPr>
      <w:r>
        <w:rPr/>
        <w:t xml:space="preserve">La longueur de la fibre centrale </w:t>
      </w:r>
      <m:oMath>
        <m:r>
          <m:rPr>
            <m:sty m:val="p"/>
          </m:rPr>
          <m:t>(</m:t>
        </m:r>
        <m:r>
          <m:rPr>
            <m:sty m:val="p"/>
          </m:rPr>
          <m:t>BQ</m:t>
        </m:r>
        <m:r>
          <m:rPr>
            <m:sty m:val="p"/>
          </m:rPr>
          <m:t>)</m:t>
        </m:r>
      </m:oMath>
      <w:r>
        <w:rPr>
          <w:rFonts w:eastAsia="Georgia" w:cs="Georgia" w:ascii="Georgia" w:hAnsi="Georgia"/>
        </w:rPr>
        <w:t xml:space="preserve"> reste constante, égale à </w:t>
      </w:r>
      <m:oMath>
        <m:sSub>
          <m:sSubPr/>
          <m:e>
            <m:r>
              <m:rPr>
                <m:sty m:val="i"/>
              </m:rPr>
              <m:t>L</m:t>
            </m:r>
          </m:e>
          <m:sub>
            <m:r>
              <m:rPr>
                <m:sty m:val="p"/>
              </m:rPr>
              <m:t>0</m:t>
            </m:r>
          </m:sub>
        </m:sSub>
      </m:oMath>
      <w:r>
        <w:rPr/>
        <w:t xml:space="preserve">;</w:t>
      </w:r>
    </w:p>
    <w:p>
      <w:pPr>
        <w:numPr>
          <w:ilvl w:val="0"/>
          <w:numId w:val="13"/>
        </w:numPr>
        <w:spacing w:lineRule="auto"/>
      </w:pPr>
      <m:oMath>
        <m:r>
          <m:rPr>
            <m:sty m:val="i"/>
          </m:rPr>
          <m:t>h</m:t>
        </m:r>
        <m:r>
          <m:rPr>
            <m:sty m:val="p"/>
          </m:rPr>
          <m:t>≪</m:t>
        </m:r>
        <m:r>
          <m:rPr>
            <m:sty m:val="p"/>
          </m:rPr>
          <m:t>|</m:t>
        </m:r>
        <m:r>
          <m:rPr>
            <m:sty m:val="i"/>
          </m:rPr>
          <m:t>R</m:t>
        </m:r>
        <m:r>
          <m:rPr>
            <m:sty m:val="p"/>
          </m:rPr>
          <m:t>|</m:t>
        </m:r>
      </m:oMath>
      <w:r>
        <w:rPr/>
        <w:t xml:space="preserve"> (par ailleurs </w:t>
      </w:r>
      <m:oMath>
        <m:r>
          <m:rPr>
            <m:sty m:val="i"/>
          </m:rPr>
          <m:t>h</m:t>
        </m:r>
        <m:r>
          <m:rPr>
            <m:sty m:val="p"/>
          </m:rPr>
          <m:t>≪</m:t>
        </m:r>
        <m:sSub>
          <m:sSubPr/>
          <m:e>
            <m:r>
              <m:rPr>
                <m:sty m:val="i"/>
              </m:rPr>
              <m:t>L</m:t>
            </m:r>
          </m:e>
          <m:sub>
            <m:r>
              <m:rPr>
                <m:sty m:val="p"/>
              </m:rPr>
              <m:t>0</m:t>
            </m:r>
          </m:sub>
        </m:sSub>
      </m:oMath>
      <w:r>
        <w:rPr/>
        <w:t xml:space="preserve"> );</w:t>
      </w:r>
    </w:p>
    <w:p>
      <w:pPr>
        <w:numPr>
          <w:ilvl w:val="0"/>
          <w:numId w:val="13"/>
        </w:numPr>
        <w:spacing w:lineRule="auto"/>
      </w:pPr>
      <w:r>
        <w:rPr>
          <w:rFonts w:eastAsia="Georgia" w:cs="Georgia" w:ascii="Georgia" w:hAnsi="Georgia"/>
        </w:rPr>
        <w:t xml:space="preserve">Le déplacement de tout point P de la fibre centrale ( BQ ) est horizontal (selon l'axe </w:t>
      </w:r>
      <m:oMath>
        <m:r>
          <m:rPr>
            <m:sty m:val="p"/>
          </m:rPr>
          <m:t>(</m:t>
        </m:r>
        <m:r>
          <m:rPr>
            <m:sty m:val="p"/>
          </m:rPr>
          <m:t>O</m:t>
        </m:r>
        <m:r>
          <m:rPr>
            <m:sty m:val="i"/>
          </m:rPr>
          <m:t>x</m:t>
        </m:r>
        <m:r>
          <m:rPr>
            <m:sty m:val="p"/>
          </m:rPr>
          <m:t>)</m:t>
        </m:r>
      </m:oMath>
      <w:r>
        <w:rPr/>
        <w:t xml:space="preserve"> ).</w:t>
      </w:r>
    </w:p>
    <w:p>
      <w:pPr>
        <w:spacing w:after="220" w:lineRule="auto"/>
      </w:pPr>
      <w:r>
        <w:rPr>
          <w:rFonts w:eastAsia="Georgia" w:cs="Georgia" w:ascii="Georgia" w:hAnsi="Georgia"/>
        </w:rPr>
        <w:t xml:space="preserve">Les calculs qui suivront devront être effectués systématiquement dans ce cadre.</w:t>
      </w:r>
      <w:r>
        <w:rPr/>
        <w:br w:type="textWrapping"/>
      </w:r>
      <w:r>
        <w:rPr/>
        <w:t xml:space="preserve">Nous notons </w:t>
      </w:r>
      <m:oMath>
        <m:r>
          <m:rPr>
            <m:sty m:val="i"/>
          </m:rPr>
          <m:t>q</m:t>
        </m:r>
      </m:oMath>
      <w:r>
        <w:rPr>
          <w:rFonts w:eastAsia="Georgia" w:cs="Georgia" w:ascii="Georgia" w:hAnsi="Georgia"/>
        </w:rPr>
        <w:t xml:space="preserve">, variable a priori fonction du temps, le déplacement relatif ( </w:t>
      </w:r>
      <m:oMath>
        <m:sSub>
          <m:sSubPr/>
          <m:e>
            <m:r>
              <m:rPr>
                <m:sty m:val="p"/>
              </m:rPr>
              <m:t>Q</m:t>
            </m:r>
          </m:e>
          <m:sub>
            <m:r>
              <m:rPr>
                <m:sty m:val="p"/>
              </m:rPr>
              <m:t>0</m:t>
            </m:r>
          </m:sub>
        </m:sSub>
        <m:r>
          <m:rPr>
            <m:sty m:val="p"/>
          </m:rPr>
          <m:t>Q</m:t>
        </m:r>
      </m:oMath>
      <w:r>
        <w:rPr>
          <w:rFonts w:eastAsia="Georgia" w:cs="Georgia" w:ascii="Georgia" w:hAnsi="Georgia"/>
        </w:rPr>
        <w:t xml:space="preserve"> ) (horizontal) du centre de la section inférieure du bâton de craie. Il est représenté arbitrairement positif sur la figure. Dans cette situation, le rayon </w:t>
      </w:r>
      <m:oMath>
        <m:r>
          <m:rPr>
            <m:sty m:val="i"/>
          </m:rPr>
          <m:t>R</m:t>
        </m:r>
      </m:oMath>
      <w:r>
        <w:rPr/>
        <w:t xml:space="preserve"> qui lui correspond est choisi positif.</w:t>
      </w:r>
    </w:p>
    <w:p>
      <w:pPr>
        <w:spacing w:after="220" w:lineRule="auto"/>
      </w:pPr>
      <w:r>
        <w:rPr/>
        <w:t xml:space="preserve">La variable </w:t>
      </w:r>
      <m:oMath>
        <m:r>
          <m:rPr>
            <m:sty m:val="i"/>
          </m:rPr>
          <m:t>X</m:t>
        </m:r>
      </m:oMath>
      <w:r>
        <w:rPr>
          <w:rFonts w:eastAsia="Georgia" w:cs="Georgia" w:ascii="Georgia" w:hAnsi="Georgia"/>
        </w:rPr>
        <w:t xml:space="preserve"> représente le déplacement relatif </w:t>
      </w:r>
      <m:oMath>
        <m:d>
          <m:dPr>
            <m:begChr m:val="("/>
            <m:endChr m:val=")"/>
            <m:ctrlPr>
              <w:rPr>
                <w:rFonts w:ascii="Cambria Math" w:hAnsi="Cambria Math"/>
              </w:rPr>
            </m:ctrlPr>
          </m:dPr>
          <m:e>
            <m:sSub>
              <m:sSubPr/>
              <m:e>
                <m:r>
                  <m:rPr>
                    <m:sty m:val="p"/>
                  </m:rPr>
                  <m:t>P</m:t>
                </m:r>
              </m:e>
              <m:sub>
                <m:r>
                  <m:rPr>
                    <m:sty m:val="p"/>
                  </m:rPr>
                  <m:t>0</m:t>
                </m:r>
              </m:sub>
            </m:sSub>
            <m:r>
              <m:rPr>
                <m:sty m:val="p"/>
              </m:rPr>
              <m:t>P</m:t>
            </m:r>
          </m:e>
        </m:d>
      </m:oMath>
      <w:r>
        <w:rPr>
          <w:rFonts w:eastAsia="Georgia" w:cs="Georgia" w:ascii="Georgia" w:hAnsi="Georgia"/>
        </w:rPr>
        <w:t xml:space="preserve"> (horizontal) d'un point courant d'ordonnée </w:t>
      </w:r>
      <m:oMath>
        <m:r>
          <m:rPr>
            <m:sty m:val="i"/>
          </m:rPr>
          <m:t>Y</m:t>
        </m:r>
      </m:oMath>
      <w:r>
        <w:rPr/>
        <w:t xml:space="preserve"> de la fibre centrale.</w:t>
      </w:r>
    </w:p>
    <w:p>
      <w:pPr>
        <w:spacing w:after="220" w:lineRule="auto"/>
      </w:pPr>
      <w:r>
        <w:rPr>
          <w:rFonts w:eastAsia="Georgia" w:cs="Georgia" w:ascii="Georgia" w:hAnsi="Georgia"/>
        </w:rPr>
        <w:t xml:space="preserve">Notons que les fibres (BQ) et (EF) (figure (6)) sont, a priori, situées dans le plan (O, </w:t>
      </w:r>
      <m:oMath>
        <m:r>
          <m:rPr>
            <m:sty m:val="i"/>
          </m:rPr>
          <m:t>x</m:t>
        </m:r>
        <m:r>
          <m:rPr>
            <m:sty m:val="p"/>
          </m:rPr>
          <m:t>,</m:t>
        </m:r>
        <m:r>
          <m:rPr>
            <m:sty m:val="i"/>
          </m:rPr>
          <m:t>y</m:t>
        </m:r>
      </m:oMath>
      <w:r>
        <w:rPr>
          <w:rFonts w:eastAsia="Georgia" w:cs="Georgia" w:ascii="Georgia" w:hAnsi="Georgia"/>
        </w:rPr>
        <w:t xml:space="preserve"> ) (celui de la figure). Toutes leurs homologues, situées hors de ce plan seront, bien sûr, également à considérer.</w:t>
      </w:r>
    </w:p>
    <w:p>
      <w:pPr>
        <w:spacing w:after="220" w:lineRule="auto"/>
      </w:pPr>
      <w:r>
        <w:rPr/>
        <w:t xml:space="preserve">Les abscisses </w:t>
      </w:r>
      <m:oMath>
        <m:r>
          <m:rPr>
            <m:sty m:val="i"/>
          </m:rPr>
          <m:t>u</m:t>
        </m:r>
      </m:oMath>
      <w:r>
        <w:rPr/>
        <w:t xml:space="preserve"> et </w:t>
      </w:r>
      <m:oMath>
        <m:sSub>
          <m:sSubPr/>
          <m:e>
            <m:r>
              <m:rPr>
                <m:sty m:val="i"/>
              </m:rPr>
              <m:t>X</m:t>
            </m:r>
          </m:e>
          <m:sub>
            <m:r>
              <m:rPr>
                <m:sty m:val="p"/>
              </m:rPr>
              <m:t>B</m:t>
            </m:r>
          </m:sub>
        </m:sSub>
      </m:oMath>
      <w:r>
        <w:rPr>
          <w:rFonts w:eastAsia="Georgia" w:cs="Georgia" w:ascii="Georgia" w:hAnsi="Georgia"/>
        </w:rPr>
        <w:t xml:space="preserve"> correspondent à celles, de mêmes noms, qui apparaissaient sur la figure (1) décrivant le système modèle.</w:t>
      </w:r>
      <w:r>
        <w:rPr/>
        <w:br w:type="textWrapping"/>
      </w:r>
      <w:r>
        <w:rPr>
          <w:rFonts w:eastAsia="Georgia" w:cs="Georgia" w:ascii="Georgia" w:hAnsi="Georgia"/>
        </w:rPr>
        <w:t xml:space="preserve">16. Exprimer le déplacement relatif </w:t>
      </w:r>
      <m:oMath>
        <m:r>
          <m:rPr>
            <m:sty m:val="i"/>
          </m:rPr>
          <m:t>q</m:t>
        </m:r>
      </m:oMath>
      <w:r>
        <w:rPr/>
        <w:t xml:space="preserve"> en fonction de </w:t>
      </w:r>
      <m:oMath>
        <m:sSub>
          <m:sSubPr/>
          <m:e>
            <m:r>
              <m:rPr>
                <m:sty m:val="i"/>
              </m:rPr>
              <m:t>L</m:t>
            </m:r>
          </m:e>
          <m:sub>
            <m:r>
              <m:rPr>
                <m:sty m:val="p"/>
              </m:rPr>
              <m:t>0</m:t>
            </m:r>
          </m:sub>
        </m:sSub>
      </m:oMath>
      <w:r>
        <w:rPr/>
        <w:t xml:space="preserve"> et </w:t>
      </w:r>
      <m:oMath>
        <m:r>
          <m:rPr>
            <m:sty m:val="i"/>
          </m:rPr>
          <m:t>R</m:t>
        </m:r>
      </m:oMath>
      <w:r>
        <w:rPr/>
        <w:t xml:space="preserve">.</w:t>
      </w:r>
      <w:r>
        <w:rPr/>
        <w:br w:type="textWrapping"/>
      </w:r>
      <w:r>
        <w:rPr>
          <w:rFonts w:eastAsia="Georgia" w:cs="Georgia" w:ascii="Georgia" w:hAnsi="Georgia"/>
        </w:rPr>
        <w:t xml:space="preserve">17. Exprimer le déplacement relatif </w:t>
      </w:r>
      <m:oMath>
        <m:r>
          <m:rPr>
            <m:sty m:val="i"/>
          </m:rPr>
          <m:t>X</m:t>
        </m:r>
      </m:oMath>
      <w:r>
        <w:rPr/>
        <w:t xml:space="preserve"> en fonction de </w:t>
      </w:r>
      <m:oMath>
        <m:r>
          <m:rPr>
            <m:sty m:val="i"/>
          </m:rPr>
          <m:t>q</m:t>
        </m:r>
        <m:r>
          <m:rPr>
            <m:sty m:val="p"/>
          </m:rPr>
          <m:t>,</m:t>
        </m:r>
        <m:sSub>
          <m:sSubPr/>
          <m:e>
            <m:r>
              <m:rPr>
                <m:sty m:val="i"/>
              </m:rPr>
              <m:t>L</m:t>
            </m:r>
          </m:e>
          <m:sub>
            <m:r>
              <m:rPr>
                <m:sty m:val="p"/>
              </m:rPr>
              <m:t>0</m:t>
            </m:r>
          </m:sub>
        </m:sSub>
      </m:oMath>
      <w:r>
        <w:rPr/>
        <w:t xml:space="preserve"> et </w:t>
      </w:r>
      <m:oMath>
        <m:r>
          <m:rPr>
            <m:sty m:val="i"/>
          </m:rPr>
          <m:t>Y</m:t>
        </m:r>
      </m:oMath>
      <w:r>
        <w:rPr/>
        <w:t xml:space="preserve">.</w:t>
      </w:r>
      <w:r>
        <w:rPr/>
        <w:br w:type="textWrapping"/>
      </w:r>
      <w:r>
        <w:rPr>
          <w:rFonts w:eastAsia="Georgia" w:cs="Georgia" w:ascii="Georgia" w:hAnsi="Georgia"/>
        </w:rPr>
        <w:t xml:space="preserve">18. Nous paramétrons la déformation du bâton de craie par la variable </w:t>
      </w:r>
      <m:oMath>
        <m:r>
          <m:rPr>
            <m:sty m:val="i"/>
          </m:rPr>
          <m:t>q</m:t>
        </m:r>
      </m:oMath>
      <w:r>
        <w:rPr>
          <w:rFonts w:eastAsia="Georgia" w:cs="Georgia" w:ascii="Georgia" w:hAnsi="Georgia"/>
        </w:rPr>
        <w:t xml:space="preserve">. Nous ne considérons que le déplacement (horizontal) de chaque section du bâton de craie (c'est-à-dire que nous ne tenons pas compte de leur rotation). Exprimer, dans ces conditions, l'énergie cinétique </w:t>
      </w:r>
      <m:oMath>
        <m:sSub>
          <m:sSubPr/>
          <m:e>
            <m:r>
              <m:rPr>
                <m:sty m:val="i"/>
              </m:rPr>
              <m:t>E</m:t>
            </m:r>
          </m:e>
          <m:sub>
            <m:r>
              <m:rPr>
                <m:sty m:val="p"/>
              </m:rPr>
              <m:t>c</m:t>
            </m:r>
          </m:sub>
        </m:sSub>
      </m:oMath>
      <w:r>
        <w:rPr>
          <w:rFonts w:eastAsia="Georgia" w:cs="Georgia" w:ascii="Georgia" w:hAnsi="Georgia"/>
        </w:rPr>
        <w:t xml:space="preserve"> du bâton. On se placera dans le repère lié au support (3) (galiléen). Vérifier qu'elle prend la forme suivante :</w:t>
      </w:r>
    </w:p>
    <w:p>
      <w:pPr>
        <w:spacing w:after="220" w:lineRule="auto"/>
      </w:pPr>
      <m:oMathPara>
        <m:oMath>
          <m:sSub>
            <m:sSubPr/>
            <m:e>
              <m:r>
                <m:rPr>
                  <m:sty m:val="i"/>
                </m:rPr>
                <m:t>E</m:t>
              </m:r>
            </m:e>
            <m:sub>
              <m:r>
                <m:rPr>
                  <m:sty m:val="p"/>
                </m:rPr>
                <m:t>c</m:t>
              </m:r>
            </m:sub>
          </m:sSub>
          <m:r>
            <m:rPr>
              <m:sty m:val="p"/>
            </m:rPr>
            <m:t>=</m:t>
          </m:r>
          <m:f>
            <m:fPr>
              <m:ctrlPr>
                <w:rPr>
                  <w:rFonts w:ascii="Cambria Math" w:hAnsi="Cambria Math"/>
                </w:rPr>
              </m:ctrlPr>
            </m:fPr>
            <m:num>
              <m:r>
                <m:rPr>
                  <m:sty m:val="p"/>
                </m:rPr>
                <m:t>1</m:t>
              </m:r>
            </m:num>
            <m:den>
              <m:r>
                <m:rPr>
                  <m:sty m:val="p"/>
                </m:rPr>
                <m:t>2</m:t>
              </m:r>
            </m:den>
          </m:f>
          <m:sSup>
            <m:sSupPr/>
            <m:e>
              <m:r>
                <m:rPr>
                  <m:sty m:val="i"/>
                </m:rPr>
                <m:t>M</m:t>
              </m:r>
            </m:e>
            <m:sup>
              <m:r>
                <m:rPr>
                  <m:sty m:val="p"/>
                </m:rPr>
                <m:t>⋆</m:t>
              </m:r>
            </m:sup>
          </m:sSup>
          <m:sSup>
            <m:sSupPr/>
            <m:e>
              <m:acc>
                <m:accPr>
                  <m:chr m:val="˙"/>
                </m:accPr>
                <m:e>
                  <m:r>
                    <m:rPr>
                      <m:sty m:val="i"/>
                    </m:rPr>
                    <m:t>q</m:t>
                  </m:r>
                </m:e>
              </m:acc>
            </m:e>
            <m:sup>
              <m:r>
                <m:rPr>
                  <m:sty m:val="p"/>
                </m:rPr>
                <m:t>2</m:t>
              </m:r>
            </m:sup>
          </m:sSup>
        </m:oMath>
      </m:oMathPara>
    </w:p>
    <w:p>
      <w:pPr>
        <w:spacing w:after="220" w:lineRule="auto"/>
      </w:pPr>
      <w:r>
        <w:rPr/>
        <w:t xml:space="preserve">On exprimera </w:t>
      </w:r>
      <m:oMath>
        <m:sSup>
          <m:sSupPr/>
          <m:e>
            <m:r>
              <m:rPr>
                <m:sty m:val="i"/>
              </m:rPr>
              <m:t>M</m:t>
            </m:r>
          </m:e>
          <m:sup>
            <m:r>
              <m:rPr>
                <m:sty m:val="p"/>
              </m:rPr>
              <m:t>⋆</m:t>
            </m:r>
          </m:sup>
        </m:sSup>
      </m:oMath>
      <w:r>
        <w:rPr/>
        <w:t xml:space="preserve"> en fonction de </w:t>
      </w:r>
      <m:oMath>
        <m:r>
          <m:rPr>
            <m:sty m:val="i"/>
          </m:rPr>
          <m:t>M</m:t>
        </m:r>
      </m:oMath>
      <w:r>
        <w:rPr/>
        <w:t xml:space="preserve"> puis en fonction de </w:t>
      </w:r>
      <m:oMath>
        <m:r>
          <m:rPr>
            <m:sty m:val="i"/>
          </m:rPr>
          <m:t>ρ</m:t>
        </m:r>
        <m:r>
          <m:rPr>
            <m:sty m:val="p"/>
          </m:rPr>
          <m:t>,</m:t>
        </m:r>
        <m:r>
          <m:rPr>
            <m:sty m:val="i"/>
          </m:rPr>
          <m:t>h</m:t>
        </m:r>
      </m:oMath>
      <w:r>
        <w:rPr/>
        <w:t xml:space="preserve"> et </w:t>
      </w:r>
      <m:oMath>
        <m:sSub>
          <m:sSubPr/>
          <m:e>
            <m:r>
              <m:rPr>
                <m:sty m:val="i"/>
              </m:rPr>
              <m:t>L</m:t>
            </m:r>
          </m:e>
          <m:sub>
            <m:r>
              <m:rPr>
                <m:sty m:val="p"/>
              </m:rPr>
              <m:t>0</m:t>
            </m:r>
          </m:sub>
        </m:sSub>
      </m:oMath>
      <w:r>
        <w:rPr/>
        <w:t xml:space="preserve">.</w:t>
      </w:r>
      <w:r>
        <w:rPr/>
        <w:br w:type="textWrapping"/>
      </w:r>
      <w:r>
        <w:rPr/>
        <w:t xml:space="preserve">19. Indiquer pourquoi </w:t>
      </w:r>
      <m:oMath>
        <m:sSup>
          <m:sSupPr/>
          <m:e>
            <m:r>
              <m:rPr>
                <m:sty m:val="i"/>
              </m:rPr>
              <m:t>M</m:t>
            </m:r>
          </m:e>
          <m:sup>
            <m:r>
              <m:rPr>
                <m:sty m:val="p"/>
              </m:rPr>
              <m:t>⋆</m:t>
            </m:r>
          </m:sup>
        </m:sSup>
        <m:r>
          <m:rPr>
            <m:sty m:val="p"/>
          </m:rPr>
          <m:t>&lt;</m:t>
        </m:r>
        <m:r>
          <m:rPr>
            <m:sty m:val="i"/>
          </m:rPr>
          <m:t>M</m:t>
        </m:r>
      </m:oMath>
      <w:r>
        <w:rPr/>
        <w:t xml:space="preserve">.</w:t>
      </w:r>
    </w:p>
    <w:p>
      <w:pPr>
        <w:numPr>
          <w:ilvl w:val="0"/>
          <w:numId w:val="14"/>
        </w:numPr>
        <w:spacing w:lineRule="auto"/>
      </w:pPr>
      <w:r>
        <w:rPr>
          <w:rFonts w:eastAsia="Georgia" w:cs="Georgia" w:ascii="Georgia" w:hAnsi="Georgia"/>
        </w:rPr>
        <w:t xml:space="preserve">Il s'agit maintenant de modéliser le comportement élastique de flexion du bâton de craie. La figure (6) représente ce bâton dans un état fléchi paramétré par le rayon de courbure </w:t>
      </w:r>
      <m:oMath>
        <m:r>
          <m:rPr>
            <m:sty m:val="i"/>
          </m:rPr>
          <m:t>R</m:t>
        </m:r>
      </m:oMath>
      <w:r>
        <w:rPr>
          <w:rFonts w:eastAsia="Georgia" w:cs="Georgia" w:ascii="Georgia" w:hAnsi="Georgia"/>
        </w:rPr>
        <w:t xml:space="preserve">. Une fibre (EF) est située par rapport à la fibre centrale ( BQ ) (qui conserve sa longueur initiale </w:t>
      </w:r>
      <m:oMath>
        <m:sSub>
          <m:sSubPr/>
          <m:e>
            <m:r>
              <m:rPr>
                <m:sty m:val="i"/>
              </m:rPr>
              <m:t>L</m:t>
            </m:r>
          </m:e>
          <m:sub>
            <m:r>
              <m:rPr>
                <m:sty m:val="p"/>
              </m:rPr>
              <m:t>0</m:t>
            </m:r>
          </m:sub>
        </m:sSub>
      </m:oMath>
      <w:r>
        <w:rPr/>
        <w:t xml:space="preserve"> ) par la variable </w:t>
      </w:r>
      <m:oMath>
        <m:r>
          <m:rPr>
            <m:sty m:val="i"/>
          </m:rPr>
          <m:t>e</m:t>
        </m:r>
        <m:r>
          <m:rPr>
            <m:sty m:val="p"/>
          </m:rPr>
          <m:t>(</m:t>
        </m:r>
        <m:r>
          <m:rPr>
            <m:sty m:val="i"/>
          </m:rPr>
          <m:t>e</m:t>
        </m:r>
        <m:r>
          <m:rPr>
            <m:sty m:val="p"/>
          </m:rPr>
          <m:t>∈</m:t>
        </m:r>
        <m:r>
          <m:rPr>
            <m:sty m:val="p"/>
          </m:rPr>
          <m:t>[</m:t>
        </m:r>
        <m:r>
          <m:rPr>
            <m:sty m:val="p"/>
          </m:rPr>
          <m:t>−</m:t>
        </m:r>
        <m:r>
          <m:rPr>
            <m:sty m:val="i"/>
          </m:rPr>
          <m:t>h</m:t>
        </m:r>
        <m:r>
          <m:rPr>
            <m:sty m:val="p"/>
          </m:rPr>
          <m:t>/</m:t>
        </m:r>
        <m:r>
          <m:rPr>
            <m:sty m:val="p"/>
          </m:rPr>
          <m:t>2</m:t>
        </m:r>
        <m:r>
          <m:rPr>
            <m:sty m:val="p"/>
          </m:rPr>
          <m:t>,</m:t>
        </m:r>
        <m:r>
          <m:rPr>
            <m:sty m:val="p"/>
          </m:rPr>
          <m:t>+</m:t>
        </m:r>
        <m:r>
          <m:rPr>
            <m:sty m:val="i"/>
          </m:rPr>
          <m:t>h</m:t>
        </m:r>
        <m:r>
          <m:rPr>
            <m:sty m:val="p"/>
          </m:rPr>
          <m:t>/</m:t>
        </m:r>
        <m:r>
          <m:rPr>
            <m:sty m:val="p"/>
          </m:rPr>
          <m:t>2</m:t>
        </m:r>
        <m:r>
          <m:rPr>
            <m:sty m:val="p"/>
          </m:rPr>
          <m:t>]</m:t>
        </m:r>
        <m:r>
          <m:rPr>
            <m:sty m:val="p"/>
          </m:rPr>
          <m:t>)</m:t>
        </m:r>
      </m:oMath>
      <w:r>
        <w:rPr/>
        <w:t xml:space="preserve">.</w:t>
      </w:r>
    </w:p>
    <w:p>
      <w:pPr>
        <w:spacing w:lineRule="auto"/>
        <w:jc w:val="center"/>
      </w:pPr>
      <w:r>
        <w:rPr/>
        <w:drawing>
          <wp:inline distB="0" distL="0" distR="0" distT="0">
            <wp:extent cx="5486400" cy="2525751"/>
            <wp:effectExtent b="0" l="0" r="0" t="0"/>
            <wp:docPr id="6" name="image-08a876a3da3a86babc9f3990fb18cea066e1726c.jpg"/>
            <a:graphic>
              <a:graphicData uri="http://schemas.openxmlformats.org/drawingml/2006/picture">
                <pic:pic>
                  <pic:nvPicPr>
                    <pic:cNvPr id="6" name="image-08a876a3da3a86babc9f3990fb18cea066e1726c.jpg" descr=""/>
                    <pic:cNvPicPr/>
                  </pic:nvPicPr>
                  <pic:blipFill>
                    <a:blip r:embed="rId10" cstate="print"/>
                    <a:srcRect b="0" l="0" r="0" t="0"/>
                    <a:stretch>
                      <a:fillRect/>
                    </a:stretch>
                  </pic:blipFill>
                  <pic:spPr>
                    <a:xfrm>
                      <a:off x="0" y="0"/>
                      <a:ext cx="5486400" cy="2525751"/>
                    </a:xfrm>
                    <a:prstGeom prst="rect"/>
                  </pic:spPr>
                </pic:pic>
              </a:graphicData>
            </a:graphic>
          </wp:inline>
        </w:drawing>
      </w:r>
    </w:p>
    <w:p>
      <w:pPr>
        <w:spacing w:lineRule="auto"/>
      </w:pPr>
      <w:r>
        <w:rPr>
          <w:rFonts w:eastAsia="Georgia" w:cs="Georgia" w:ascii="Georgia" w:hAnsi="Georgia"/>
        </w:rPr>
        <w:t xml:space="preserve">Figure 6 - Flexion du bâton de craie : Situation d'une fibre (EF) par rapport à la fibre centrale (BQ) dont la longueur reste égale à </w:t>
      </w:r>
      <m:oMath>
        <m:sSub>
          <m:sSubPr/>
          <m:e>
            <m:r>
              <m:rPr>
                <m:sty m:val="i"/>
              </m:rPr>
              <m:t>L</m:t>
            </m:r>
          </m:e>
          <m:sub>
            <m:r>
              <m:rPr>
                <m:sty m:val="p"/>
              </m:rPr>
              <m:t>0</m:t>
            </m:r>
          </m:sub>
        </m:sSub>
      </m:oMath>
      <w:r>
        <w:rPr/>
        <w:t xml:space="preserve">.</w:t>
      </w:r>
    </w:p>
    <w:p>
      <w:pPr>
        <w:numPr>
          <w:ilvl w:val="0"/>
          <w:numId w:val="15"/>
        </w:numPr>
        <w:spacing w:lineRule="auto"/>
      </w:pPr>
      <w:r>
        <w:rPr/>
        <w:t xml:space="preserve">Exprimer la longueur </w:t>
      </w:r>
      <m:oMath>
        <m:r>
          <m:rPr>
            <m:sty m:val="i"/>
          </m:rPr>
          <m:t>L</m:t>
        </m:r>
        <m:r>
          <m:rPr>
            <m:sty m:val="p"/>
          </m:rPr>
          <m:t>(</m:t>
        </m:r>
        <m:r>
          <m:rPr>
            <m:sty m:val="i"/>
          </m:rPr>
          <m:t>e</m:t>
        </m:r>
        <m:r>
          <m:rPr>
            <m:sty m:val="p"/>
          </m:rPr>
          <m:t>)</m:t>
        </m:r>
      </m:oMath>
      <w:r>
        <w:rPr/>
        <w:t xml:space="preserve"> de la fibre (EF) en fonction de </w:t>
      </w:r>
      <m:oMath>
        <m:sSub>
          <m:sSubPr/>
          <m:e>
            <m:r>
              <m:rPr>
                <m:sty m:val="i"/>
              </m:rPr>
              <m:t>L</m:t>
            </m:r>
          </m:e>
          <m:sub>
            <m:r>
              <m:rPr>
                <m:sty m:val="p"/>
              </m:rPr>
              <m:t>0</m:t>
            </m:r>
          </m:sub>
        </m:sSub>
        <m:r>
          <m:rPr>
            <m:sty m:val="p"/>
          </m:rPr>
          <m:t>,</m:t>
        </m:r>
        <m:r>
          <m:rPr>
            <m:sty m:val="i"/>
          </m:rPr>
          <m:t>R</m:t>
        </m:r>
      </m:oMath>
      <w:r>
        <w:rPr/>
        <w:t xml:space="preserve"> et </w:t>
      </w:r>
      <m:oMath>
        <m:r>
          <m:rPr>
            <m:sty m:val="i"/>
          </m:rPr>
          <m:t>e</m:t>
        </m:r>
      </m:oMath>
      <w:r>
        <w:rPr/>
        <w:t xml:space="preserve">.</w:t>
      </w:r>
    </w:p>
    <w:p>
      <w:pPr>
        <w:numPr>
          <w:ilvl w:val="0"/>
          <w:numId w:val="15"/>
        </w:numPr>
        <w:spacing w:lineRule="auto"/>
      </w:pPr>
      <w:r>
        <w:rPr>
          <w:rFonts w:eastAsia="Georgia" w:cs="Georgia" w:ascii="Georgia" w:hAnsi="Georgia"/>
        </w:rPr>
        <w:t xml:space="preserve">Sur la base du résultat établi en réponse à la question (15), exprimer l'énergie potentielle élastique </w:t>
      </w:r>
      <m:oMath>
        <m:sSub>
          <m:sSubPr/>
          <m:e>
            <m:r>
              <m:rPr>
                <m:sty m:val="i"/>
              </m:rPr>
              <m:t>E</m:t>
            </m:r>
          </m:e>
          <m:sub>
            <m:r>
              <m:rPr>
                <m:sty m:val="p"/>
              </m:rPr>
              <m:t>p</m:t>
            </m:r>
          </m:sub>
        </m:sSub>
      </m:oMath>
      <w:r>
        <w:rPr>
          <w:rFonts w:eastAsia="Georgia" w:cs="Georgia" w:ascii="Georgia" w:hAnsi="Georgia"/>
        </w:rPr>
        <w:t xml:space="preserve"> du bâton de craie correspondant à un rayon de courbure </w:t>
      </w:r>
      <m:oMath>
        <m:r>
          <m:rPr>
            <m:sty m:val="i"/>
          </m:rPr>
          <m:t>R</m:t>
        </m:r>
      </m:oMath>
      <w:r>
        <w:rPr>
          <w:rFonts w:eastAsia="Georgia" w:cs="Georgia" w:ascii="Georgia" w:hAnsi="Georgia"/>
        </w:rPr>
        <w:t xml:space="preserve">. L'origine de l'énergie potentielle est choisie telle que </w:t>
      </w:r>
      <m:oMath>
        <m:sSub>
          <m:sSubPr/>
          <m:e>
            <m:r>
              <m:rPr>
                <m:sty m:val="i"/>
              </m:rPr>
              <m:t>E</m:t>
            </m:r>
          </m:e>
          <m:sub>
            <m:r>
              <m:rPr>
                <m:sty m:val="p"/>
              </m:rPr>
              <m:t>p</m:t>
            </m:r>
          </m:sub>
        </m:sSub>
        <m:r>
          <m:rPr>
            <m:sty m:val="p"/>
          </m:rPr>
          <m:t>→</m:t>
        </m:r>
        <m:r>
          <m:rPr>
            <m:sty m:val="p"/>
          </m:rPr>
          <m:t>0</m:t>
        </m:r>
      </m:oMath>
      <w:r>
        <w:rPr/>
        <w:t xml:space="preserve"> pour </w:t>
      </w:r>
      <m:oMath>
        <m:r>
          <m:rPr>
            <m:sty m:val="p"/>
          </m:rPr>
          <m:t>|</m:t>
        </m:r>
        <m:r>
          <m:rPr>
            <m:sty m:val="i"/>
          </m:rPr>
          <m:t>R</m:t>
        </m:r>
        <m:r>
          <m:rPr>
            <m:sty m:val="p"/>
          </m:rPr>
          <m:t>|</m:t>
        </m:r>
        <m:r>
          <m:rPr>
            <m:sty m:val="p"/>
          </m:rPr>
          <m:t>→</m:t>
        </m:r>
        <m:r>
          <m:rPr>
            <m:sty m:val="p"/>
          </m:rPr>
          <m:t>+</m:t>
        </m:r>
        <m:r>
          <m:rPr>
            <m:sty m:val="p"/>
          </m:rPr>
          <m:t>∞</m:t>
        </m:r>
      </m:oMath>
      <w:r>
        <w:rPr>
          <w:rFonts w:eastAsia="Georgia" w:cs="Georgia" w:ascii="Georgia" w:hAnsi="Georgia"/>
        </w:rPr>
        <w:t xml:space="preserve">. On exprimera le résultat en fonction de </w:t>
      </w:r>
      <m:oMath>
        <m:r>
          <m:rPr>
            <m:sty m:val="i"/>
          </m:rPr>
          <m:t>E</m:t>
        </m:r>
        <m:r>
          <m:rPr>
            <m:sty m:val="p"/>
          </m:rPr>
          <m:t>,</m:t>
        </m:r>
        <m:sSub>
          <m:sSubPr/>
          <m:e>
            <m:r>
              <m:rPr>
                <m:sty m:val="i"/>
              </m:rPr>
              <m:t>L</m:t>
            </m:r>
          </m:e>
          <m:sub>
            <m:r>
              <m:rPr>
                <m:sty m:val="p"/>
              </m:rPr>
              <m:t>0</m:t>
            </m:r>
          </m:sub>
        </m:sSub>
        <m:r>
          <m:rPr>
            <m:sty m:val="p"/>
          </m:rPr>
          <m:t>,</m:t>
        </m:r>
        <m:r>
          <m:rPr>
            <m:sty m:val="i"/>
          </m:rPr>
          <m:t>h</m:t>
        </m:r>
      </m:oMath>
      <w:r>
        <w:rPr/>
        <w:t xml:space="preserve"> et </w:t>
      </w:r>
      <m:oMath>
        <m:r>
          <m:rPr>
            <m:sty m:val="i"/>
          </m:rPr>
          <m:t>R</m:t>
        </m:r>
      </m:oMath>
      <w:r>
        <w:rPr/>
        <w:t xml:space="preserve">.</w:t>
      </w:r>
    </w:p>
    <w:p>
      <w:pPr>
        <w:numPr>
          <w:ilvl w:val="0"/>
          <w:numId w:val="15"/>
        </w:numPr>
        <w:spacing w:lineRule="auto"/>
      </w:pPr>
      <w:r>
        <w:rPr>
          <w:rFonts w:eastAsia="Georgia" w:cs="Georgia" w:ascii="Georgia" w:hAnsi="Georgia"/>
        </w:rPr>
        <w:t xml:space="preserve">Nous adoptons maintenant le déplacement </w:t>
      </w:r>
      <m:oMath>
        <m:r>
          <m:rPr>
            <m:sty m:val="i"/>
          </m:rPr>
          <m:t>q</m:t>
        </m:r>
      </m:oMath>
      <w:r>
        <w:rPr>
          <w:rFonts w:eastAsia="Georgia" w:cs="Georgia" w:ascii="Georgia" w:hAnsi="Georgia"/>
        </w:rPr>
        <w:t xml:space="preserve"> comme paramètre de déformation. En utilisant le résultat établi en réponse à la question (16), établir que l'énergie potentielle prend la forme suivante :</w:t>
      </w:r>
    </w:p>
    <w:p>
      <w:pPr>
        <w:spacing w:after="220" w:lineRule="auto"/>
      </w:pPr>
      <m:oMathPara>
        <m:oMath>
          <m:sSub>
            <m:sSubPr/>
            <m:e>
              <m:r>
                <m:rPr>
                  <m:sty m:val="i"/>
                </m:rPr>
                <m:t>E</m:t>
              </m:r>
            </m:e>
            <m:sub>
              <m:r>
                <m:rPr>
                  <m:sty m:val="p"/>
                </m:rPr>
                <m:t>p</m:t>
              </m:r>
            </m:sub>
          </m:sSub>
          <m:r>
            <m:rPr>
              <m:sty m:val="p"/>
            </m:rPr>
            <m:t>=</m:t>
          </m:r>
          <m:f>
            <m:fPr>
              <m:ctrlPr>
                <w:rPr>
                  <w:rFonts w:ascii="Cambria Math" w:hAnsi="Cambria Math"/>
                </w:rPr>
              </m:ctrlPr>
            </m:fPr>
            <m:num>
              <m:r>
                <m:rPr>
                  <m:sty m:val="p"/>
                </m:rPr>
                <m:t>1</m:t>
              </m:r>
            </m:num>
            <m:den>
              <m:r>
                <m:rPr>
                  <m:sty m:val="p"/>
                </m:rPr>
                <m:t>2</m:t>
              </m:r>
            </m:den>
          </m:f>
          <m:sSup>
            <m:sSupPr/>
            <m:e>
              <m:r>
                <m:rPr>
                  <m:sty m:val="i"/>
                </m:rPr>
                <m:t>k</m:t>
              </m:r>
            </m:e>
            <m:sup>
              <m:r>
                <m:rPr>
                  <m:sty m:val="p"/>
                </m:rPr>
                <m:t>⋆</m:t>
              </m:r>
            </m:sup>
          </m:sSup>
          <m:sSup>
            <m:sSupPr/>
            <m:e>
              <m:r>
                <m:rPr>
                  <m:sty m:val="i"/>
                </m:rPr>
                <m:t>q</m:t>
              </m:r>
            </m:e>
            <m:sup>
              <m:r>
                <m:rPr>
                  <m:sty m:val="p"/>
                </m:rPr>
                <m:t>2</m:t>
              </m:r>
            </m:sup>
          </m:sSup>
        </m:oMath>
      </m:oMathPara>
    </w:p>
    <w:p>
      <w:pPr>
        <w:spacing w:after="220" w:lineRule="auto"/>
      </w:pPr>
      <w:r>
        <w:rPr>
          <w:rFonts w:eastAsia="Georgia" w:cs="Georgia" w:ascii="Georgia" w:hAnsi="Georgia"/>
        </w:rPr>
        <w:t xml:space="preserve">On exprimera le paramètre </w:t>
      </w:r>
      <m:oMath>
        <m:sSup>
          <m:sSupPr/>
          <m:e>
            <m:r>
              <m:rPr>
                <m:sty m:val="i"/>
              </m:rPr>
              <m:t>k</m:t>
            </m:r>
          </m:e>
          <m:sup>
            <m:r>
              <m:rPr>
                <m:sty m:val="p"/>
              </m:rPr>
              <m:t>⋆</m:t>
            </m:r>
          </m:sup>
        </m:sSup>
      </m:oMath>
      <w:r>
        <w:rPr/>
        <w:t xml:space="preserve"> en fonction de </w:t>
      </w:r>
      <m:oMath>
        <m:r>
          <m:rPr>
            <m:sty m:val="i"/>
          </m:rPr>
          <m:t>E</m:t>
        </m:r>
        <m:r>
          <m:rPr>
            <m:sty m:val="p"/>
          </m:rPr>
          <m:t>,</m:t>
        </m:r>
        <m:sSub>
          <m:sSubPr/>
          <m:e>
            <m:r>
              <m:rPr>
                <m:sty m:val="i"/>
              </m:rPr>
              <m:t>L</m:t>
            </m:r>
          </m:e>
          <m:sub>
            <m:r>
              <m:rPr>
                <m:sty m:val="p"/>
              </m:rPr>
              <m:t>0</m:t>
            </m:r>
          </m:sub>
        </m:sSub>
      </m:oMath>
      <w:r>
        <w:rPr/>
        <w:t xml:space="preserve"> et </w:t>
      </w:r>
      <m:oMath>
        <m:r>
          <m:rPr>
            <m:sty m:val="i"/>
          </m:rPr>
          <m:t>h</m:t>
        </m:r>
      </m:oMath>
      <w:r>
        <w:rPr/>
        <w:t xml:space="preserve">.</w:t>
      </w:r>
      <w:r>
        <w:rPr/>
        <w:br w:type="textWrapping"/>
      </w:r>
      <w:r>
        <w:rPr>
          <w:rFonts w:eastAsia="Georgia" w:cs="Georgia" w:ascii="Georgia" w:hAnsi="Georgia"/>
        </w:rPr>
        <w:t xml:space="preserve">23. Indiquer pour quelle(s) raison(s) la forme de la relation (4) était attendue.</w:t>
      </w:r>
    </w:p>
    <w:p>
      <w:pPr>
        <w:spacing w:line="271" w:before="240" w:lineRule="auto"/>
      </w:pPr>
      <w:r>
        <w:rPr>
          <w:b/>
          <w:sz w:val="33"/>
        </w:rPr>
        <w:t xml:space="preserve">2.2 Application au stick-slip.</w:t>
      </w:r>
    </w:p>
    <w:p>
      <w:pPr>
        <w:spacing w:after="220" w:lineRule="auto"/>
      </w:pPr>
      <w:r>
        <w:rPr>
          <w:rFonts w:eastAsia="Georgia" w:cs="Georgia" w:ascii="Georgia" w:hAnsi="Georgia"/>
        </w:rPr>
        <w:t xml:space="preserve">Nous nous proposons, sur la base de l'ensemble des résultats établis, de déterminer la fréquence du son émis lors du frottement d'un bâton de craie contre la surface d'un tableau.</w:t>
      </w:r>
      <w:r>
        <w:rPr/>
        <w:br w:type="textWrapping"/>
      </w:r>
      <w:r>
        <w:rPr>
          <w:rFonts w:eastAsia="Georgia" w:cs="Georgia" w:ascii="Georgia" w:hAnsi="Georgia"/>
        </w:rPr>
        <w:t xml:space="preserve">24. Établir, en fonction des paramètres </w:t>
      </w:r>
      <m:oMath>
        <m:sSup>
          <m:sSupPr/>
          <m:e>
            <m:r>
              <m:rPr>
                <m:sty m:val="i"/>
              </m:rPr>
              <m:t>M</m:t>
            </m:r>
          </m:e>
          <m:sup>
            <m:r>
              <m:rPr>
                <m:sty m:val="p"/>
              </m:rPr>
              <m:t>⋆</m:t>
            </m:r>
          </m:sup>
        </m:sSup>
      </m:oMath>
      <w:r>
        <w:rPr/>
        <w:t xml:space="preserve"> et </w:t>
      </w:r>
      <m:oMath>
        <m:sSup>
          <m:sSupPr/>
          <m:e>
            <m:r>
              <m:rPr>
                <m:sty m:val="i"/>
              </m:rPr>
              <m:t>k</m:t>
            </m:r>
          </m:e>
          <m:sup>
            <m:r>
              <m:rPr>
                <m:sty m:val="p"/>
              </m:rPr>
              <m:t>⋆</m:t>
            </m:r>
          </m:sup>
        </m:sSup>
      </m:oMath>
      <w:r>
        <w:rPr>
          <w:rFonts w:eastAsia="Georgia" w:cs="Georgia" w:ascii="Georgia" w:hAnsi="Georgia"/>
        </w:rPr>
        <w:t xml:space="preserve">, l'expression du carré de la pulsation propre ( </w:t>
      </w:r>
      <m:oMath>
        <m:sSubSup>
          <m:sSubSupPr/>
          <m:e>
            <m:r>
              <m:rPr>
                <m:sty m:val="i"/>
              </m:rPr>
              <m:t>ω</m:t>
            </m:r>
          </m:e>
          <m:sub>
            <m:r>
              <m:rPr>
                <m:sty m:val="p"/>
              </m:rPr>
              <m:t>0</m:t>
            </m:r>
          </m:sub>
          <m:sup>
            <m:r>
              <m:rPr>
                <m:sty m:val="p"/>
              </m:rPr>
              <m:t>2</m:t>
            </m:r>
          </m:sup>
        </m:sSubSup>
      </m:oMath>
      <w:r>
        <w:rPr>
          <w:rFonts w:eastAsia="Georgia" w:cs="Georgia" w:ascii="Georgia" w:hAnsi="Georgia"/>
        </w:rPr>
        <w:t xml:space="preserve"> ) des oscillations libres de flexion du bâton de craie.</w:t>
      </w:r>
      <w:r>
        <w:rPr/>
        <w:br w:type="textWrapping"/>
      </w:r>
      <w:r>
        <w:rPr>
          <w:rFonts w:eastAsia="Georgia" w:cs="Georgia" w:ascii="Georgia" w:hAnsi="Georgia"/>
        </w:rPr>
        <w:t xml:space="preserve">25. Le carré de la pulsation propre s'exprime, avec les paramètres initiaux, selon la relation suivante :</w:t>
      </w:r>
    </w:p>
    <w:p>
      <w:pPr>
        <w:spacing w:after="220" w:lineRule="auto"/>
      </w:pPr>
      <m:oMathPara>
        <m:oMath>
          <m:sSubSup>
            <m:sSubSupPr/>
            <m:e>
              <m:r>
                <m:rPr>
                  <m:sty m:val="i"/>
                </m:rPr>
                <m:t>ω</m:t>
              </m:r>
            </m:e>
            <m:sub>
              <m:r>
                <m:rPr>
                  <m:sty m:val="p"/>
                </m:rPr>
                <m:t>0</m:t>
              </m:r>
            </m:sub>
            <m:sup>
              <m:r>
                <m:rPr>
                  <m:sty m:val="p"/>
                </m:rPr>
                <m:t>2</m:t>
              </m:r>
            </m:sup>
          </m:sSubSup>
          <m:r>
            <m:rPr>
              <m:sty m:val="p"/>
            </m:rPr>
            <m:t>=</m:t>
          </m:r>
          <m:f>
            <m:fPr>
              <m:ctrlPr>
                <w:rPr>
                  <w:rFonts w:ascii="Cambria Math" w:hAnsi="Cambria Math"/>
                </w:rPr>
              </m:ctrlPr>
            </m:fPr>
            <m:num>
              <m:r>
                <m:rPr>
                  <m:sty m:val="p"/>
                </m:rPr>
                <m:t>5</m:t>
              </m:r>
              <m:r>
                <m:rPr>
                  <m:sty m:val="i"/>
                </m:rPr>
                <m:t>E</m:t>
              </m:r>
              <m:sSup>
                <m:sSupPr/>
                <m:e>
                  <m:r>
                    <m:rPr>
                      <m:sty m:val="i"/>
                    </m:rPr>
                    <m:t>h</m:t>
                  </m:r>
                </m:e>
                <m:sup>
                  <m:r>
                    <m:rPr>
                      <m:sty m:val="p"/>
                    </m:rPr>
                    <m:t>2</m:t>
                  </m:r>
                </m:sup>
              </m:sSup>
            </m:num>
            <m:den>
              <m:r>
                <m:rPr>
                  <m:sty m:val="p"/>
                </m:rPr>
                <m:t>3</m:t>
              </m:r>
              <m:r>
                <m:rPr>
                  <m:sty m:val="i"/>
                </m:rPr>
                <m:t>ρ</m:t>
              </m:r>
              <m:sSubSup>
                <m:sSubSupPr/>
                <m:e>
                  <m:r>
                    <m:rPr>
                      <m:sty m:val="i"/>
                    </m:rPr>
                    <m:t>L</m:t>
                  </m:r>
                </m:e>
                <m:sub>
                  <m:r>
                    <m:rPr>
                      <m:sty m:val="p"/>
                    </m:rPr>
                    <m:t>0</m:t>
                  </m:r>
                </m:sub>
                <m:sup>
                  <m:r>
                    <m:rPr>
                      <m:sty m:val="p"/>
                    </m:rPr>
                    <m:t>4</m:t>
                  </m:r>
                </m:sup>
              </m:sSubSup>
            </m:den>
          </m:f>
        </m:oMath>
      </m:oMathPara>
    </w:p>
    <w:p>
      <w:pPr>
        <w:spacing w:after="220" w:lineRule="auto"/>
      </w:pPr>
      <w:r>
        <w:rPr/>
        <w:t xml:space="preserve">Nous adoptons les valeurs suivantes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i"/>
                  </m:rPr>
                  <m:t>ρ</m:t>
                </m:r>
                <m:r>
                  <m:rPr>
                    <m:sty m:val="p"/>
                  </m:rPr>
                  <m:t>=</m:t>
                </m:r>
                <m:r>
                  <m:rPr>
                    <m:sty m:val="p"/>
                  </m:rPr>
                  <m:t>1500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r>
                  <m:rPr>
                    <m:sty m:val="p"/>
                  </m:rPr>
                  <m:t>;</m:t>
                </m:r>
                <m:r>
                  <m:rPr>
                    <m:sty m:val="i"/>
                  </m:rPr>
                  <m:t>E</m:t>
                </m:r>
                <m:r>
                  <m:rPr>
                    <m:sty m:val="p"/>
                  </m:rPr>
                  <m:t>=</m:t>
                </m:r>
                <m:r>
                  <m:rPr>
                    <m:sty m:val="p"/>
                  </m:rPr>
                  <m:t>10</m:t>
                </m:r>
                <m:r>
                  <m:rPr>
                    <m:sty m:val="p"/>
                  </m:rPr>
                  <m:t>GPa</m:t>
                </m:r>
                <m:r>
                  <m:rPr>
                    <m:sty m:val="p"/>
                  </m:rPr>
                  <m:t>;</m:t>
                </m:r>
              </m:e>
            </m:mr>
            <m:mr>
              <m:e/>
              <m:e>
                <m:sSub>
                  <m:sSubPr/>
                  <m:e>
                    <m:r>
                      <m:rPr>
                        <m:sty m:val="i"/>
                      </m:rPr>
                      <m:t>L</m:t>
                    </m:r>
                  </m:e>
                  <m:sub>
                    <m:r>
                      <m:rPr>
                        <m:sty m:val="p"/>
                      </m:rPr>
                      <m:t>0</m:t>
                    </m:r>
                  </m:sub>
                </m:sSub>
                <m:r>
                  <m:rPr>
                    <m:sty m:val="p"/>
                  </m:rPr>
                  <m:t>=</m:t>
                </m:r>
                <m:r>
                  <m:rPr>
                    <m:sty m:val="p"/>
                  </m:rPr>
                  <m:t>4</m:t>
                </m:r>
                <m:r>
                  <m:rPr>
                    <m:nor/>
                  </m:rPr>
                  <m:t xml:space="preserve"> </m:t>
                </m:r>
                <m:r>
                  <m:rPr>
                    <m:sty m:val="p"/>
                  </m:rPr>
                  <m:t>cm</m:t>
                </m:r>
                <m:r>
                  <m:rPr>
                    <m:nor/>
                  </m:rPr>
                  <m:t> (4 autres centimètres sont utilisés pour la saisie - encastrement - du bâton de craie) </m:t>
                </m:r>
              </m:e>
            </m:mr>
            <m:mr>
              <m:e/>
              <m:e>
                <m:r>
                  <m:rPr>
                    <m:sty m:val="i"/>
                  </m:rPr>
                  <m:t>h</m:t>
                </m:r>
                <m:r>
                  <m:rPr>
                    <m:sty m:val="p"/>
                  </m:rPr>
                  <m:t>=</m:t>
                </m:r>
                <m:r>
                  <m:rPr>
                    <m:sty m:val="p"/>
                  </m:rPr>
                  <m:t>1</m:t>
                </m:r>
                <m:r>
                  <m:rPr>
                    <m:nor/>
                  </m:rPr>
                  <m:t xml:space="preserve"> </m:t>
                </m:r>
                <m:r>
                  <m:rPr>
                    <m:sty m:val="p"/>
                  </m:rPr>
                  <m:t>cm</m:t>
                </m:r>
                <m:r>
                  <m:rPr>
                    <m:sty m:val="p"/>
                  </m:rPr>
                  <m:t>.</m:t>
                </m:r>
              </m:e>
            </m:mr>
          </m:m>
        </m:oMath>
      </m:oMathPara>
    </w:p>
    <w:p>
      <w:pPr>
        <w:spacing w:after="220" w:lineRule="auto"/>
      </w:pPr>
      <w:r>
        <w:rPr>
          <w:rFonts w:eastAsia="Georgia" w:cs="Georgia" w:ascii="Georgia" w:hAnsi="Georgia"/>
        </w:rPr>
        <w:t xml:space="preserve">Estimer la valeur de la fréquence propre </w:t>
      </w:r>
      <m:oMath>
        <m:sSub>
          <m:sSubPr/>
          <m:e>
            <m:r>
              <m:rPr>
                <m:sty m:val="i"/>
              </m:rPr>
              <m:t>f</m:t>
            </m:r>
          </m:e>
          <m:sub>
            <m:r>
              <m:rPr>
                <m:sty m:val="p"/>
              </m:rPr>
              <m:t>0</m:t>
            </m:r>
          </m:sub>
        </m:sSub>
      </m:oMath>
      <w:r>
        <w:rPr/>
        <w:t xml:space="preserve"> correspondante.</w:t>
      </w:r>
    </w:p>
    <w:p>
      <w:pPr>
        <w:numPr>
          <w:ilvl w:val="0"/>
          <w:numId w:val="16"/>
        </w:numPr>
        <w:spacing w:lineRule="auto"/>
      </w:pPr>
      <w:r>
        <w:rPr>
          <w:rFonts w:eastAsia="Georgia" w:cs="Georgia" w:ascii="Georgia" w:hAnsi="Georgia"/>
        </w:rPr>
        <w:t xml:space="preserve">Il s'agit maintenant de mettre en correspondance cette situation à celle étudiée dans la partie (1), dans le but d'accéder aux valeurs des paramètres sans dimension </w:t>
      </w:r>
      <m:oMath>
        <m:sSub>
          <m:sSubPr/>
          <m:e>
            <m:r>
              <m:rPr>
                <m:sty m:val="i"/>
              </m:rPr>
              <m:t>W</m:t>
            </m:r>
          </m:e>
          <m:sub>
            <m:r>
              <m:rPr>
                <m:sty m:val="p"/>
              </m:rPr>
              <m:t>B</m:t>
            </m:r>
          </m:sub>
        </m:sSub>
      </m:oMath>
      <w:r>
        <w:rPr/>
        <w:t xml:space="preserve"> et </w:t>
      </w:r>
      <m:oMath>
        <m:r>
          <m:rPr>
            <m:sty m:val="i"/>
          </m:rPr>
          <m:t>r</m:t>
        </m:r>
      </m:oMath>
      <w:r>
        <w:rPr>
          <w:rFonts w:eastAsia="Georgia" w:cs="Georgia" w:ascii="Georgia" w:hAnsi="Georgia"/>
        </w:rPr>
        <w:t xml:space="preserve"> introduits respectivement dans l'équation (2) et la question (8). L'effort </w:t>
      </w:r>
      <m:oMath>
        <m:r>
          <m:rPr>
            <m:sty m:val="i"/>
          </m:rPr>
          <m:t>N</m:t>
        </m:r>
      </m:oMath>
      <w:r>
        <w:rPr>
          <w:rFonts w:eastAsia="Georgia" w:cs="Georgia" w:ascii="Georgia" w:hAnsi="Georgia"/>
        </w:rPr>
        <w:t xml:space="preserve"> (constant) est ici la conséquence de l'action du support (3) qui maintient en appui le bâton de craie contre la surface (0) (le poids du bâton est négligé). Adaptons la définition de la variable </w:t>
      </w:r>
      <m:oMath>
        <m:r>
          <m:rPr>
            <m:sty m:val="i"/>
          </m:rPr>
          <m:t>α</m:t>
        </m:r>
      </m:oMath>
      <w:r>
        <w:rPr/>
        <w:t xml:space="preserve">, introduite dans la question (3), en posant ici </w:t>
      </w:r>
      <m:oMath>
        <m:r>
          <m:rPr>
            <m:sty m:val="i"/>
          </m:rPr>
          <m:t>α</m:t>
        </m:r>
        <m:r>
          <m:rPr>
            <m:sty m:val="p"/>
          </m:rPr>
          <m:t>=</m:t>
        </m:r>
        <m:r>
          <m:rPr>
            <m:sty m:val="i"/>
          </m:rPr>
          <m:t>T</m:t>
        </m:r>
        <m:r>
          <m:rPr>
            <m:sty m:val="p"/>
          </m:rPr>
          <m:t>/</m:t>
        </m:r>
        <m:r>
          <m:rPr>
            <m:sty m:val="i"/>
          </m:rPr>
          <m:t>N</m:t>
        </m:r>
      </m:oMath>
      <w:r>
        <w:rPr/>
        <w:t xml:space="preserve">.</w:t>
      </w:r>
      <w:r>
        <w:rPr/>
        <w:br w:type="textWrapping"/>
      </w:r>
      <w:r>
        <w:rPr/>
        <w:t xml:space="preserve">Nous adoptons les valeurs suivantes : </w:t>
      </w:r>
      <m:oMath>
        <m:sSub>
          <m:sSubPr/>
          <m:e>
            <m:r>
              <m:rPr>
                <m:sty m:val="i"/>
              </m:rPr>
              <m:t>V</m:t>
            </m:r>
          </m:e>
          <m:sub>
            <m:r>
              <m:rPr>
                <m:sty m:val="p"/>
              </m:rPr>
              <m:t>B</m:t>
            </m:r>
          </m:sub>
        </m:sSub>
        <m:r>
          <m:rPr>
            <m:sty m:val="p"/>
          </m:rPr>
          <m:t>=</m:t>
        </m:r>
        <m:r>
          <m:rPr>
            <m:sty m:val="p"/>
          </m:rPr>
          <m:t>5</m:t>
        </m:r>
        <m:r>
          <m:rPr>
            <m:nor/>
          </m:rPr>
          <m:t xml:space="preserve"> </m:t>
        </m:r>
        <m:r>
          <m:rPr>
            <m:sty m:val="p"/>
          </m:rPr>
          <m:t>cm</m:t>
        </m:r>
        <m:r>
          <m:rPr>
            <m:sty m:val="p"/>
          </m:rPr>
          <m:t>⋅</m:t>
        </m:r>
        <m:sSup>
          <m:sSupPr/>
          <m:e>
            <m:r>
              <m:rPr>
                <m:nor/>
              </m:rPr>
              <m:t xml:space="preserve"> </m:t>
            </m:r>
            <m:r>
              <m:rPr>
                <m:sty m:val="p"/>
              </m:rPr>
              <m:t>s</m:t>
            </m:r>
          </m:e>
          <m:sup>
            <m:r>
              <m:rPr>
                <m:sty m:val="p"/>
              </m:rPr>
              <m:t>−</m:t>
            </m:r>
            <m:r>
              <m:rPr>
                <m:sty m:val="p"/>
              </m:rPr>
              <m:t>1</m:t>
            </m:r>
          </m:sup>
        </m:sSup>
        <m:r>
          <m:rPr>
            <m:sty m:val="p"/>
          </m:rPr>
          <m:t>,</m:t>
        </m:r>
        <m:r>
          <m:rPr>
            <m:sty m:val="i"/>
          </m:rPr>
          <m:t>N</m:t>
        </m:r>
        <m:r>
          <m:rPr>
            <m:sty m:val="p"/>
          </m:rPr>
          <m:t>=</m:t>
        </m:r>
        <m:r>
          <m:rPr>
            <m:sty m:val="p"/>
          </m:rPr>
          <m:t>1</m:t>
        </m:r>
        <m:r>
          <m:rPr>
            <m:nor/>
          </m:rPr>
          <m:t xml:space="preserve"> </m:t>
        </m:r>
        <m:r>
          <m:rPr>
            <m:sty m:val="p"/>
          </m:rPr>
          <m:t>N</m:t>
        </m:r>
      </m:oMath>
      <w:r>
        <w:rPr/>
        <w:t xml:space="preserve"> et </w:t>
      </w:r>
      <m:oMath>
        <m:sSup>
          <m:sSupPr/>
          <m:e>
            <m:r>
              <m:rPr>
                <m:sty m:val="i"/>
              </m:rPr>
              <m:t>M</m:t>
            </m:r>
          </m:e>
          <m:sup>
            <m:r>
              <m:rPr>
                <m:sty m:val="p"/>
              </m:rPr>
              <m:t>⋆</m:t>
            </m:r>
          </m:sup>
        </m:sSup>
        <m:r>
          <m:rPr>
            <m:sty m:val="p"/>
          </m:rPr>
          <m:t>≃</m:t>
        </m:r>
        <m:r>
          <m:rPr>
            <m:sty m:val="p"/>
          </m:rPr>
          <m:t>1</m:t>
        </m:r>
        <m:r>
          <m:rPr>
            <m:nor/>
          </m:rPr>
          <m:t xml:space="preserve"> </m:t>
        </m:r>
        <m:r>
          <m:rPr>
            <m:sty m:val="p"/>
          </m:rPr>
          <m:t>g</m:t>
        </m:r>
      </m:oMath>
      <w:r>
        <w:rPr/>
        <w:t xml:space="preserve">.</w:t>
      </w:r>
    </w:p>
    <w:p>
      <w:pPr>
        <w:numPr>
          <w:ilvl w:val="0"/>
          <w:numId w:val="17"/>
        </w:numPr>
        <w:spacing w:lineRule="auto"/>
      </w:pPr>
      <w:r>
        <w:rPr>
          <w:rFonts w:eastAsia="Georgia" w:cs="Georgia" w:ascii="Georgia" w:hAnsi="Georgia"/>
        </w:rPr>
        <w:t xml:space="preserve">Nous considérons le système masse-ressort ( </w:t>
      </w:r>
      <m:oMath>
        <m:sSup>
          <m:sSupPr/>
          <m:e>
            <m:r>
              <m:rPr>
                <m:sty m:val="i"/>
              </m:rPr>
              <m:t>M</m:t>
            </m:r>
          </m:e>
          <m:sup>
            <m:r>
              <m:rPr>
                <m:sty m:val="p"/>
              </m:rPr>
              <m:t>⋆</m:t>
            </m:r>
          </m:sup>
        </m:sSup>
        <m:r>
          <m:rPr>
            <m:sty m:val="p"/>
          </m:rPr>
          <m:t>,</m:t>
        </m:r>
        <m:sSup>
          <m:sSupPr/>
          <m:e>
            <m:r>
              <m:rPr>
                <m:sty m:val="i"/>
              </m:rPr>
              <m:t>k</m:t>
            </m:r>
          </m:e>
          <m:sup>
            <m:r>
              <m:rPr>
                <m:sty m:val="p"/>
              </m:rPr>
              <m:t>⋆</m:t>
            </m:r>
          </m:sup>
        </m:sSup>
      </m:oMath>
      <w:r>
        <w:rPr>
          <w:rFonts w:eastAsia="Georgia" w:cs="Georgia" w:ascii="Georgia" w:hAnsi="Georgia"/>
        </w:rPr>
        <w:t xml:space="preserve"> ) équivalent au bâton de craie. Son évolution est décrite par la variable </w:t>
      </w:r>
      <m:oMath>
        <m:r>
          <m:rPr>
            <m:sty m:val="i"/>
          </m:rPr>
          <m:t>u</m:t>
        </m:r>
      </m:oMath>
      <w:r>
        <w:rPr>
          <w:rFonts w:eastAsia="Georgia" w:cs="Georgia" w:ascii="Georgia" w:hAnsi="Georgia"/>
        </w:rPr>
        <w:t xml:space="preserve"> (se reporter à la figure (5)). Établir l'équation différentielle vérifiée par la variable </w:t>
      </w:r>
      <m:oMath>
        <m:r>
          <m:rPr>
            <m:sty m:val="i"/>
          </m:rPr>
          <m:t>u</m:t>
        </m:r>
      </m:oMath>
      <w:r>
        <w:rPr>
          <w:rFonts w:eastAsia="Georgia" w:cs="Georgia" w:ascii="Georgia" w:hAnsi="Georgia"/>
        </w:rPr>
        <w:t xml:space="preserve">. On y fera apparaître, en particulier, les paramètres </w:t>
      </w:r>
      <m:oMath>
        <m:sSub>
          <m:sSubPr/>
          <m:e>
            <m:r>
              <m:rPr>
                <m:sty m:val="i"/>
              </m:rPr>
              <m:t>ω</m:t>
            </m:r>
          </m:e>
          <m:sub>
            <m:r>
              <m:rPr>
                <m:sty m:val="p"/>
              </m:rPr>
              <m:t>0</m:t>
            </m:r>
          </m:sub>
        </m:sSub>
      </m:oMath>
      <w:r>
        <w:rPr/>
        <w:t xml:space="preserve"> et </w:t>
      </w:r>
      <m:oMath>
        <m:sSub>
          <m:sSubPr/>
          <m:e>
            <m:r>
              <m:rPr>
                <m:sty m:val="i"/>
              </m:rPr>
              <m:t>V</m:t>
            </m:r>
          </m:e>
          <m:sub>
            <m:r>
              <m:rPr>
                <m:sty m:val="p"/>
              </m:rPr>
              <m:t>B</m:t>
            </m:r>
          </m:sub>
        </m:sSub>
      </m:oMath>
      <w:r>
        <w:rPr/>
        <w:t xml:space="preserve">, et la variable </w:t>
      </w:r>
      <m:oMath>
        <m:r>
          <m:rPr>
            <m:sty m:val="i"/>
          </m:rPr>
          <m:t>α</m:t>
        </m:r>
        <m:r>
          <m:rPr>
            <m:sty m:val="p"/>
          </m:rPr>
          <m:t>=</m:t>
        </m:r>
        <m:r>
          <m:rPr>
            <m:sty m:val="i"/>
          </m:rPr>
          <m:t>α</m:t>
        </m:r>
        <m:r>
          <m:rPr>
            <m:sty m:val="p"/>
          </m:rPr>
          <m:t>(</m:t>
        </m:r>
        <m:acc>
          <m:accPr>
            <m:chr m:val="˙"/>
          </m:accPr>
          <m:e>
            <m:r>
              <m:rPr>
                <m:sty m:val="i"/>
              </m:rPr>
              <m:t>u</m:t>
            </m:r>
          </m:e>
        </m:acc>
        <m:r>
          <m:rPr>
            <m:sty m:val="p"/>
          </m:rPr>
          <m:t>)</m:t>
        </m:r>
      </m:oMath>
      <w:r>
        <w:rPr/>
        <w:t xml:space="preserve">.</w:t>
      </w:r>
    </w:p>
    <w:p>
      <w:pPr>
        <w:spacing w:after="220" w:lineRule="auto"/>
      </w:pPr>
      <w:r>
        <w:rPr>
          <w:rFonts w:eastAsia="Georgia" w:cs="Georgia" w:ascii="Georgia" w:hAnsi="Georgia"/>
        </w:rPr>
        <w:t xml:space="preserve">Dès lors, nous pouvons appliquer les résultat relatifs au système modèle étudié dans la partie (1).</w:t>
      </w:r>
      <w:r>
        <w:rPr/>
        <w:br w:type="textWrapping"/>
      </w:r>
      <w:r>
        <w:rPr>
          <w:rFonts w:eastAsia="Georgia" w:cs="Georgia" w:ascii="Georgia" w:hAnsi="Georgia"/>
        </w:rPr>
        <w:t xml:space="preserve">27. Indiquer, à partir de cette équation, comment définir une accélération de la pesanteur effective </w:t>
      </w:r>
      <m:oMath>
        <m:sSub>
          <m:sSubPr/>
          <m:e>
            <m:r>
              <m:rPr>
                <m:sty m:val="i"/>
              </m:rPr>
              <m:t>g</m:t>
            </m:r>
          </m:e>
          <m:sub>
            <m:r>
              <m:rPr>
                <m:nor/>
              </m:rPr>
              <m:t>eff </m:t>
            </m:r>
          </m:sub>
        </m:sSub>
      </m:oMath>
      <w:r>
        <w:rPr>
          <w:rFonts w:eastAsia="Georgia" w:cs="Georgia" w:ascii="Georgia" w:hAnsi="Georgia"/>
        </w:rPr>
        <w:t xml:space="preserve"> de telle manière que cette grandeur joue un rôle analogue à celui joué par </w:t>
      </w:r>
      <m:oMath>
        <m:r>
          <m:rPr>
            <m:sty m:val="i"/>
          </m:rPr>
          <m:t>g</m:t>
        </m:r>
      </m:oMath>
      <w:r>
        <w:rPr>
          <w:rFonts w:eastAsia="Georgia" w:cs="Georgia" w:ascii="Georgia" w:hAnsi="Georgia"/>
        </w:rPr>
        <w:t xml:space="preserve"> dans l'équation (1). Donner sa valeur.</w:t>
      </w:r>
      <w:r>
        <w:rPr/>
        <w:br w:type="textWrapping"/>
      </w:r>
      <w:r>
        <w:rPr/>
        <w:t xml:space="preserve">28. Avec la valeur de </w:t>
      </w:r>
      <m:oMath>
        <m:sSub>
          <m:sSubPr/>
          <m:e>
            <m:r>
              <m:rPr>
                <m:sty m:val="i"/>
              </m:rPr>
              <m:t>g</m:t>
            </m:r>
          </m:e>
          <m:sub>
            <m:r>
              <m:rPr>
                <m:nor/>
              </m:rPr>
              <m:t>eff </m:t>
            </m:r>
          </m:sub>
        </m:sSub>
      </m:oMath>
      <w:r>
        <w:rPr>
          <w:rFonts w:eastAsia="Georgia" w:cs="Georgia" w:ascii="Georgia" w:hAnsi="Georgia"/>
        </w:rPr>
        <w:t xml:space="preserve"> trouvée et en adoptant la valeur </w:t>
      </w:r>
      <m:oMath>
        <m:r>
          <m:rPr>
            <m:sty m:val="i"/>
          </m:rPr>
          <m:t>δ</m:t>
        </m:r>
        <m:r>
          <m:rPr>
            <m:sty m:val="p"/>
          </m:rPr>
          <m:t>=</m:t>
        </m:r>
        <m:sSub>
          <m:sSubPr/>
          <m:e>
            <m:r>
              <m:rPr>
                <m:sty m:val="i"/>
              </m:rPr>
              <m:t>f</m:t>
            </m:r>
          </m:e>
          <m:sub>
            <m:r>
              <m:rPr>
                <m:sty m:val="p"/>
              </m:rPr>
              <m:t>s</m:t>
            </m:r>
          </m:sub>
        </m:sSub>
        <m:r>
          <m:rPr>
            <m:sty m:val="p"/>
          </m:rPr>
          <m:t>−</m:t>
        </m:r>
        <m:sSub>
          <m:sSubPr/>
          <m:e>
            <m:r>
              <m:rPr>
                <m:sty m:val="i"/>
              </m:rPr>
              <m:t>f</m:t>
            </m:r>
          </m:e>
          <m:sub>
            <m:r>
              <m:rPr>
                <m:sty m:val="p"/>
              </m:rPr>
              <m:t>d</m:t>
            </m:r>
          </m:sub>
        </m:sSub>
        <m:r>
          <m:rPr>
            <m:sty m:val="p"/>
          </m:rPr>
          <m:t>=</m:t>
        </m:r>
        <m:r>
          <m:rPr>
            <m:sty m:val="p"/>
          </m:rPr>
          <m:t>0</m:t>
        </m:r>
        <m:r>
          <m:rPr>
            <m:sty m:val="p"/>
          </m:rPr>
          <m:t>,</m:t>
        </m:r>
        <m:r>
          <m:rPr>
            <m:sty m:val="p"/>
          </m:rPr>
          <m:t>1</m:t>
        </m:r>
      </m:oMath>
      <w:r>
        <w:rPr>
          <w:rFonts w:eastAsia="Georgia" w:cs="Georgia" w:ascii="Georgia" w:hAnsi="Georgia"/>
        </w:rPr>
        <w:t xml:space="preserve">, nous obtenons les valeurs de paramètres suivantes : </w:t>
      </w:r>
      <m:oMath>
        <m:sSub>
          <m:sSubPr/>
          <m:e>
            <m:r>
              <m:rPr>
                <m:sty m:val="i"/>
              </m:rPr>
              <m:t>W</m:t>
            </m:r>
          </m:e>
          <m:sub>
            <m:r>
              <m:rPr>
                <m:sty m:val="p"/>
              </m:rPr>
              <m:t>B</m:t>
            </m:r>
          </m:sub>
        </m:sSub>
        <m:r>
          <m:rPr>
            <m:sty m:val="p"/>
          </m:rPr>
          <m:t>≃</m:t>
        </m:r>
        <m:r>
          <m:rPr>
            <m:sty m:val="p"/>
          </m:rPr>
          <m:t>1</m:t>
        </m:r>
      </m:oMath>
      <w:r>
        <w:rPr/>
        <w:t xml:space="preserve"> et </w:t>
      </w:r>
      <m:oMath>
        <m:r>
          <m:rPr>
            <m:sty m:val="i"/>
          </m:rPr>
          <m:t>r</m:t>
        </m:r>
        <m:r>
          <m:rPr>
            <m:sty m:val="p"/>
          </m:rPr>
          <m:t>≃</m:t>
        </m:r>
        <m:sSup>
          <m:sSupPr/>
          <m:e>
            <m:r>
              <m:rPr>
                <m:sty m:val="p"/>
              </m:rPr>
              <m:t>10</m:t>
            </m:r>
          </m:e>
          <m:sup>
            <m:r>
              <m:rPr>
                <m:sty m:val="p"/>
              </m:rPr>
              <m:t>−</m:t>
            </m:r>
            <m:r>
              <m:rPr>
                <m:sty m:val="p"/>
              </m:rPr>
              <m:t>1</m:t>
            </m:r>
          </m:sup>
        </m:sSup>
      </m:oMath>
      <w:r>
        <w:rPr/>
        <w:t xml:space="preserve">.</w:t>
      </w:r>
    </w:p>
    <w:p>
      <w:pPr>
        <w:spacing w:after="220" w:lineRule="auto"/>
      </w:pPr>
      <w:r>
        <w:rPr>
          <w:rFonts w:eastAsia="Georgia" w:cs="Georgia" w:ascii="Georgia" w:hAnsi="Georgia"/>
        </w:rPr>
        <w:t xml:space="preserve">À la lumière de l'étude conduite dans la partie (1), et en particulier des résultats déduits de l'analyse de la figure (2) (question (11)), caractériser la nature des oscillations (de flexion) du bâton de craie. Indiquer alors comment est reliée la fréquence </w:t>
      </w:r>
      <m:oMath>
        <m:sSub>
          <m:sSubPr/>
          <m:e>
            <m:r>
              <m:rPr>
                <m:sty m:val="i"/>
              </m:rPr>
              <m:t>f</m:t>
            </m:r>
          </m:e>
          <m:sub>
            <m:r>
              <m:rPr>
                <m:sty m:val="p"/>
              </m:rPr>
              <m:t>ss</m:t>
            </m:r>
          </m:sub>
        </m:sSub>
      </m:oMath>
      <w:r>
        <w:rPr>
          <w:rFonts w:eastAsia="Georgia" w:cs="Georgia" w:ascii="Georgia" w:hAnsi="Georgia"/>
        </w:rPr>
        <w:t xml:space="preserve"> du son émis par le phénomène de stick-slip à la fréquence propre </w:t>
      </w:r>
      <m:oMath>
        <m:sSub>
          <m:sSubPr/>
          <m:e>
            <m:r>
              <m:rPr>
                <m:sty m:val="i"/>
              </m:rPr>
              <m:t>f</m:t>
            </m:r>
          </m:e>
          <m:sub>
            <m:r>
              <m:rPr>
                <m:sty m:val="p"/>
              </m:rPr>
              <m:t>0</m:t>
            </m:r>
          </m:sub>
        </m:sSub>
      </m:oMath>
      <w:r>
        <w:rPr>
          <w:rFonts w:eastAsia="Georgia" w:cs="Georgia" w:ascii="Georgia" w:hAnsi="Georgia"/>
        </w:rPr>
        <w:t xml:space="preserve"> de vibration du bâton de craie. Situer cette fréquence dans l'intervalle d'acuité de l'oreille humaine.</w:t>
      </w:r>
    </w:p>
    <w:p>
      <w:pPr>
        <w:spacing w:line="271" w:before="330" w:lineRule="auto"/>
      </w:pPr>
      <w:r>
        <w:rPr>
          <w:rFonts w:eastAsia="Georgia" w:cs="Georgia" w:ascii="Georgia" w:hAnsi="Georgia"/>
          <w:b/>
          <w:sz w:val="42"/>
        </w:rPr>
        <w:t xml:space="preserve">Partie Chimie Réacteurs électrochimiques</w:t>
      </w:r>
    </w:p>
    <w:p>
      <w:pPr>
        <w:spacing w:after="220" w:lineRule="auto"/>
      </w:pPr>
      <w:r>
        <w:rPr>
          <w:rFonts w:eastAsia="Georgia" w:cs="Georgia" w:ascii="Georgia" w:hAnsi="Georgia"/>
        </w:rPr>
        <w:t xml:space="preserve">Les réacteurs électrochimiques permettent de réaliser des transformations chimiques par électrolyse en faisant passer dans une solution un courant. Il est possible d'utiliser des réacteurs fermés, notamment pour la purification des métaux, mais également des réacteurs ouverts. Ces derniers ont été particulièrement étudiés ces dernières années, notamment pour la dépollution des déchets industriels, le stockage d'énergie ou pour la synthèse de composés organiques d'intérêt.</w:t>
      </w:r>
    </w:p>
    <w:p>
      <w:pPr>
        <w:spacing w:line="271" w:before="330" w:lineRule="auto"/>
      </w:pPr>
      <w:r>
        <w:rPr>
          <w:rFonts w:eastAsia="Georgia" w:cs="Georgia" w:ascii="Georgia" w:hAnsi="Georgia"/>
          <w:b/>
          <w:sz w:val="42"/>
        </w:rPr>
        <w:t xml:space="preserve">1 Utilisation de réacteurs électrochimiques pour dépolluer des effluents industriels.</w:t>
      </w:r>
    </w:p>
    <w:p>
      <w:pPr>
        <w:spacing w:after="220" w:lineRule="auto"/>
      </w:pPr>
      <w:r>
        <w:rPr>
          <w:rFonts w:eastAsia="Georgia" w:cs="Georgia" w:ascii="Georgia" w:hAnsi="Georgia"/>
        </w:rPr>
        <w:t xml:space="preserve">La plupart des industries chimiques produisent des déchets qu'il est nécessaire de traiter avant de pouvoir être déversés dans la nature. Les eaux usées issues d'industries chimiques sont appelées effluents industriels. Nous allons chercher à nous intéresser ici à comparer la performance de plusieurs réacteurs modèles pouvant être utilisés pour la dépollution des effluents industriels.</w:t>
      </w:r>
    </w:p>
    <w:p>
      <w:pPr>
        <w:spacing w:after="220" w:lineRule="auto"/>
      </w:pPr>
      <w:r>
        <w:rPr>
          <w:rFonts w:eastAsia="Georgia" w:cs="Georgia" w:ascii="Georgia" w:hAnsi="Georgia"/>
        </w:rPr>
        <w:t xml:space="preserve">Dans toute cette partie, les grandeurs en entrée du réacteur seront notées avec un indice </w:t>
      </w:r>
      <m:oMath>
        <m:r>
          <m:rPr>
            <m:sty m:val="i"/>
          </m:rPr>
          <m:t>e</m:t>
        </m:r>
      </m:oMath>
      <w:r>
        <w:rPr>
          <w:rFonts w:eastAsia="Georgia" w:cs="Georgia" w:ascii="Georgia" w:hAnsi="Georgia"/>
        </w:rPr>
        <w:t xml:space="preserve"> et les grandeurs en sortie du réacteur seront notées avec un indice </w:t>
      </w:r>
      <m:oMath>
        <m:r>
          <m:rPr>
            <m:sty m:val="i"/>
          </m:rPr>
          <m:t>s</m:t>
        </m:r>
      </m:oMath>
      <w:r>
        <w:rPr>
          <w:rFonts w:eastAsia="Georgia" w:cs="Georgia" w:ascii="Georgia" w:hAnsi="Georgia"/>
        </w:rPr>
        <w:t xml:space="preserve">. On supposera pour tous les réacteurs que les solutions remplissent intégralement les réacteurs et on notera </w:t>
      </w:r>
      <m:oMath>
        <m:r>
          <m:rPr>
            <m:sty m:val="i"/>
          </m:rPr>
          <m:t>V</m:t>
        </m:r>
      </m:oMath>
      <w:r>
        <w:rPr>
          <w:rFonts w:eastAsia="Georgia" w:cs="Georgia" w:ascii="Georgia" w:hAnsi="Georgia"/>
        </w:rPr>
        <w:t xml:space="preserve"> le volume de la solution qui est donc supposé égal au volume du réacteur.</w:t>
      </w:r>
    </w:p>
    <w:p>
      <w:pPr>
        <w:numPr>
          <w:ilvl w:val="0"/>
          <w:numId w:val="18"/>
        </w:numPr>
        <w:spacing w:lineRule="auto"/>
      </w:pPr>
      <w:r>
        <w:rPr>
          <w:rFonts w:eastAsia="Georgia" w:cs="Georgia" w:ascii="Georgia" w:hAnsi="Georgia"/>
        </w:rPr>
        <w:t xml:space="preserve">Rappeler la différence entre un réacteur ouvert et un réacteur fermé. Indiquer l'intérêt d'utiliser un réacteur ouvert plutôt qu'un réacteur fermé dans l'objectif de dépolluer des effluents industriels.</w:t>
      </w:r>
    </w:p>
    <w:p>
      <w:pPr>
        <w:spacing w:line="271" w:before="240" w:lineRule="auto"/>
      </w:pPr>
      <w:r>
        <w:rPr>
          <w:rFonts w:eastAsia="Georgia" w:cs="Georgia" w:ascii="Georgia" w:hAnsi="Georgia"/>
          <w:b/>
          <w:sz w:val="33"/>
        </w:rPr>
        <w:t xml:space="preserve">1.1 Demande chimique en oxygène.</w:t>
      </w:r>
    </w:p>
    <w:p>
      <w:pPr>
        <w:spacing w:after="220" w:lineRule="auto"/>
      </w:pPr>
      <w:r>
        <w:rPr>
          <w:rFonts w:eastAsia="Georgia" w:cs="Georgia" w:ascii="Georgia" w:hAnsi="Georgia"/>
        </w:rPr>
        <w:t xml:space="preserve">Le traitement électrochimique des eaux usées se fait par oxydation des polluants. Les effluents industriels sont généralement constitués d'un mélange complexe de polluants. La qualité des effluents est alors déterminer par un indice, appelé demande chimique en oxygène ( </w:t>
      </w:r>
      <m:oMath>
        <m:r>
          <m:rPr>
            <m:sty m:val="i"/>
          </m:rPr>
          <m:t>D</m:t>
        </m:r>
        <m:r>
          <m:rPr>
            <m:sty m:val="i"/>
          </m:rPr>
          <m:t>C</m:t>
        </m:r>
        <m:r>
          <m:rPr>
            <m:sty m:val="i"/>
          </m:rPr>
          <m:t>O</m:t>
        </m:r>
      </m:oMath>
      <w:r>
        <w:rPr>
          <w:rFonts w:eastAsia="Georgia" w:cs="Georgia" w:ascii="Georgia" w:hAnsi="Georgia"/>
        </w:rPr>
        <w:t xml:space="preserve"> ), qui correspond à la quantité de dioxygène nécessaire afin d'oxyder complètement le composé exprimée en </w:t>
      </w:r>
      <m:oMath>
        <m:r>
          <m:rPr>
            <m:sty m:val="p"/>
          </m:rPr>
          <m:t>g</m:t>
        </m:r>
        <m:r>
          <m:rPr>
            <m:sty m:val="p"/>
          </m:rPr>
          <m:t>⋅</m:t>
        </m:r>
        <m:sSup>
          <m:sSupPr/>
          <m:e>
            <m:r>
              <m:rPr>
                <m:sty m:val="p"/>
              </m:rPr>
              <m:t>L</m:t>
            </m:r>
          </m:e>
          <m:sup>
            <m:r>
              <m:rPr>
                <m:sty m:val="p"/>
              </m:rPr>
              <m:t>−</m:t>
            </m:r>
            <m:r>
              <m:rPr>
                <m:sty m:val="p"/>
              </m:rPr>
              <m:t>1</m:t>
            </m:r>
          </m:sup>
        </m:sSup>
      </m:oMath>
      <w:r>
        <w:rPr>
          <w:rFonts w:eastAsia="Georgia" w:cs="Georgia" w:ascii="Georgia" w:hAnsi="Georgia"/>
        </w:rPr>
        <w:t xml:space="preserve"> de dioxygène. Pour simplifier, on s'intéressera ici uniquement au traitement d'un effluent comportant uniquement comme polluant le phénol de formule </w:t>
      </w:r>
      <m:oMath>
        <m:sSub>
          <m:sSubPr/>
          <m:e>
            <m:r>
              <m:rPr>
                <m:sty m:val="p"/>
              </m:rPr>
              <m:t>C</m:t>
            </m:r>
          </m:e>
          <m:sub>
            <m:r>
              <m:rPr>
                <m:sty m:val="p"/>
              </m:rPr>
              <m:t>6</m:t>
            </m:r>
          </m:sub>
        </m:sSub>
        <m:sSub>
          <m:sSubPr/>
          <m:e>
            <m:r>
              <m:rPr>
                <m:sty m:val="p"/>
              </m:rPr>
              <m:t>H</m:t>
            </m:r>
          </m:e>
          <m:sub>
            <m:r>
              <m:rPr>
                <m:sty m:val="p"/>
              </m:rPr>
              <m:t>5</m:t>
            </m:r>
          </m:sub>
        </m:sSub>
        <m:r>
          <m:rPr>
            <m:sty m:val="p"/>
          </m:rPr>
          <m:t>OH</m:t>
        </m:r>
      </m:oMath>
      <w:r>
        <w:rPr/>
        <w:t xml:space="preserve">.</w:t>
      </w:r>
      <w:r>
        <w:rPr/>
        <w:br w:type="textWrapping"/>
      </w:r>
      <w:r>
        <w:rPr>
          <w:rFonts w:eastAsia="Georgia" w:cs="Georgia" w:ascii="Georgia" w:hAnsi="Georgia"/>
        </w:rPr>
        <w:t xml:space="preserve">2. Donner l'équation de réaction d'oxydation complète du phénol par le dioxygène. On rappelle qu'une oxydation complète conduit à la formation de dioxyde de carbone </w:t>
      </w:r>
      <m:oMath>
        <m:sSub>
          <m:sSubPr/>
          <m:e>
            <m:r>
              <m:rPr>
                <m:sty m:val="p"/>
              </m:rPr>
              <m:t>CO</m:t>
            </m:r>
          </m:e>
          <m:sub>
            <m:r>
              <m:rPr>
                <m:sty m:val="p"/>
              </m:rPr>
              <m:t>2</m:t>
            </m:r>
          </m:sub>
        </m:sSub>
      </m:oMath>
      <w:r>
        <w:rPr/>
        <w:t xml:space="preserve"> et d'eau </w:t>
      </w:r>
      <m:oMath>
        <m:sSub>
          <m:sSubPr/>
          <m:e>
            <m:r>
              <m:rPr>
                <m:sty m:val="p"/>
              </m:rPr>
              <m:t>H</m:t>
            </m:r>
          </m:e>
          <m:sub>
            <m:r>
              <m:rPr>
                <m:sty m:val="p"/>
              </m:rPr>
              <m:t>2</m:t>
            </m:r>
          </m:sub>
        </m:sSub>
        <m:r>
          <m:rPr>
            <m:sty m:val="p"/>
          </m:rPr>
          <m:t>O</m:t>
        </m:r>
      </m:oMath>
      <w:r>
        <w:rPr/>
        <w:t xml:space="preserve">.</w:t>
      </w:r>
      <w:r>
        <w:rPr/>
        <w:br w:type="textWrapping"/>
      </w:r>
      <w:r>
        <w:rPr>
          <w:rFonts w:eastAsia="Georgia" w:cs="Georgia" w:ascii="Georgia" w:hAnsi="Georgia"/>
        </w:rPr>
        <w:t xml:space="preserve">3. En déduire la relation de proportionnalité entre la concentration molaire en phénol et la demande chimique en oxygène </w:t>
      </w:r>
      <m:oMath>
        <m:r>
          <m:rPr>
            <m:sty m:val="i"/>
          </m:rPr>
          <m:t>D</m:t>
        </m:r>
        <m:r>
          <m:rPr>
            <m:sty m:val="i"/>
          </m:rPr>
          <m:t>C</m:t>
        </m:r>
        <m:r>
          <m:rPr>
            <m:sty m:val="i"/>
          </m:rPr>
          <m:t>O</m:t>
        </m:r>
      </m:oMath>
      <w:r>
        <w:rPr/>
        <w:t xml:space="preserve">.</w:t>
      </w:r>
      <w:r>
        <w:rPr/>
        <w:br w:type="textWrapping"/>
      </w:r>
      <w:r>
        <w:rPr>
          <w:rFonts w:eastAsia="Georgia" w:cs="Georgia" w:ascii="Georgia" w:hAnsi="Georgia"/>
        </w:rPr>
        <w:t xml:space="preserve">Dans le réacteur qui nous intéresse ici, l'oxydation se fait directement à l'anode par réaction électrochimique.</w:t>
      </w:r>
      <w:r>
        <w:rPr/>
        <w:br w:type="textWrapping"/>
      </w:r>
      <w:r>
        <w:rPr>
          <w:rFonts w:eastAsia="Georgia" w:cs="Georgia" w:ascii="Georgia" w:hAnsi="Georgia"/>
        </w:rPr>
        <w:t xml:space="preserve">4. Donner la demi-équation électronique d'oxydation du phénol en </w:t>
      </w:r>
      <m:oMath>
        <m:sSub>
          <m:sSubPr/>
          <m:e>
            <m:r>
              <m:rPr>
                <m:sty m:val="p"/>
              </m:rPr>
              <m:t>CO</m:t>
            </m:r>
          </m:e>
          <m:sub>
            <m:r>
              <m:rPr>
                <m:sty m:val="p"/>
              </m:rPr>
              <m:t>2</m:t>
            </m:r>
          </m:sub>
        </m:sSub>
      </m:oMath>
      <w:r>
        <w:rPr>
          <w:rFonts w:eastAsia="Georgia" w:cs="Georgia" w:ascii="Georgia" w:hAnsi="Georgia"/>
        </w:rPr>
        <w:t xml:space="preserve"> à l'anode.</w:t>
      </w:r>
      <w:r>
        <w:rPr/>
        <w:br w:type="textWrapping"/>
      </w:r>
      <w:r>
        <w:rPr/>
        <w:t xml:space="preserve">5. Montrer alors que le rendement faradique </w:t>
      </w:r>
      <m:oMath>
        <m:sSub>
          <m:sSubPr/>
          <m:e>
            <m:r>
              <m:rPr>
                <m:sty m:val="i"/>
              </m:rPr>
              <m:t>r</m:t>
            </m:r>
          </m:e>
          <m:sub>
            <m:r>
              <m:rPr>
                <m:sty m:val="i"/>
              </m:rPr>
              <m:t>F</m:t>
            </m:r>
          </m:sub>
        </m:sSub>
      </m:oMath>
      <w:r>
        <w:rPr>
          <w:rFonts w:eastAsia="Georgia" w:cs="Georgia" w:ascii="Georgia" w:hAnsi="Georgia"/>
        </w:rPr>
        <w:t xml:space="preserve"> de la réaction de dépollution est donné par la relation :</w:t>
      </w:r>
    </w:p>
    <w:p>
      <w:pPr>
        <w:spacing w:after="220" w:lineRule="auto"/>
      </w:pPr>
      <m:oMathPara>
        <m:oMath>
          <m:sSub>
            <m:sSubPr/>
            <m:e>
              <m:r>
                <m:rPr>
                  <m:sty m:val="i"/>
                </m:rPr>
                <m:t>r</m:t>
              </m:r>
            </m:e>
            <m:sub>
              <m:r>
                <m:rPr>
                  <m:sty m:val="i"/>
                </m:rPr>
                <m:t>F</m:t>
              </m:r>
            </m:sub>
          </m:sSub>
          <m:r>
            <m:rPr>
              <m:sty m:val="p"/>
            </m:rPr>
            <m:t>=</m:t>
          </m:r>
          <m:f>
            <m:fPr>
              <m:ctrlPr>
                <w:rPr>
                  <w:rFonts w:ascii="Cambria Math" w:hAnsi="Cambria Math"/>
                </w:rPr>
              </m:ctrlPr>
            </m:fPr>
            <m:num>
              <m:r>
                <m:rPr>
                  <m:sty m:val="p"/>
                </m:rPr>
                <m:t>4</m:t>
              </m:r>
              <m:d>
                <m:dPr>
                  <m:begChr m:val="("/>
                  <m:endChr m:val=")"/>
                  <m:ctrlPr>
                    <w:rPr>
                      <w:rFonts w:ascii="Cambria Math" w:hAnsi="Cambria Math"/>
                    </w:rPr>
                  </m:ctrlPr>
                </m:dPr>
                <m:e>
                  <m:r>
                    <m:rPr>
                      <m:sty m:val="i"/>
                    </m:rPr>
                    <m:t>D</m:t>
                  </m:r>
                  <m:r>
                    <m:rPr>
                      <m:sty m:val="i"/>
                    </m:rPr>
                    <m:t>C</m:t>
                  </m:r>
                  <m:sSub>
                    <m:sSubPr/>
                    <m:e>
                      <m:r>
                        <m:rPr>
                          <m:sty m:val="i"/>
                        </m:rPr>
                        <m:t>O</m:t>
                      </m:r>
                    </m:e>
                    <m:sub>
                      <m:r>
                        <m:rPr>
                          <m:sty m:val="i"/>
                        </m:rPr>
                        <m:t>e</m:t>
                      </m:r>
                    </m:sub>
                  </m:sSub>
                  <m:r>
                    <m:rPr>
                      <m:sty m:val="p"/>
                    </m:rPr>
                    <m:t>−</m:t>
                  </m:r>
                  <m:r>
                    <m:rPr>
                      <m:sty m:val="i"/>
                    </m:rPr>
                    <m:t>D</m:t>
                  </m:r>
                  <m:r>
                    <m:rPr>
                      <m:sty m:val="i"/>
                    </m:rPr>
                    <m:t>C</m:t>
                  </m:r>
                  <m:sSub>
                    <m:sSubPr/>
                    <m:e>
                      <m:r>
                        <m:rPr>
                          <m:sty m:val="i"/>
                        </m:rPr>
                        <m:t>O</m:t>
                      </m:r>
                    </m:e>
                    <m:sub>
                      <m:r>
                        <m:rPr>
                          <m:sty m:val="i"/>
                        </m:rPr>
                        <m:t>s</m:t>
                      </m:r>
                    </m:sub>
                  </m:sSub>
                </m:e>
              </m:d>
              <m:r>
                <m:rPr>
                  <m:sty m:val="i"/>
                </m:rPr>
                <m:t>V</m:t>
              </m:r>
              <m:r>
                <m:rPr>
                  <m:sty m:val="i"/>
                </m:rPr>
                <m:t>F</m:t>
              </m:r>
            </m:num>
            <m:den>
              <m:r>
                <m:rPr>
                  <m:sty m:val="i"/>
                </m:rPr>
                <m:t>I</m:t>
              </m:r>
              <m:r>
                <m:rPr>
                  <m:sty m:val="p"/>
                </m:rPr>
                <m:t>Δ</m:t>
              </m:r>
              <m:r>
                <m:rPr>
                  <m:sty m:val="i"/>
                </m:rPr>
                <m:t>t</m:t>
              </m:r>
              <m:sSub>
                <m:sSubPr/>
                <m:e>
                  <m:r>
                    <m:rPr>
                      <m:sty m:val="i"/>
                    </m:rPr>
                    <m:t>M</m:t>
                  </m:r>
                </m:e>
                <m:sub>
                  <m:sSub>
                    <m:sSubPr/>
                    <m:e>
                      <m:r>
                        <m:rPr>
                          <m:sty m:val="p"/>
                        </m:rPr>
                        <m:t>O</m:t>
                      </m:r>
                    </m:e>
                    <m:sub>
                      <m:r>
                        <m:rPr>
                          <m:sty m:val="p"/>
                        </m:rPr>
                        <m:t>2</m:t>
                      </m:r>
                    </m:sub>
                  </m:sSub>
                </m:sub>
              </m:sSub>
            </m:den>
          </m:f>
        </m:oMath>
      </m:oMathPara>
    </w:p>
    <w:p>
      <w:pPr>
        <w:spacing w:after="220" w:lineRule="auto"/>
      </w:pPr>
      <w:r>
        <w:rPr>
          <w:rFonts w:eastAsia="Georgia" w:cs="Georgia" w:ascii="Georgia" w:hAnsi="Georgia"/>
        </w:rPr>
        <w:t xml:space="preserve">où </w:t>
      </w:r>
      <m:oMath>
        <m:r>
          <m:rPr>
            <m:sty m:val="i"/>
          </m:rPr>
          <m:t>D</m:t>
        </m:r>
        <m:r>
          <m:rPr>
            <m:sty m:val="i"/>
          </m:rPr>
          <m:t>C</m:t>
        </m:r>
        <m:sSub>
          <m:sSubPr/>
          <m:e>
            <m:r>
              <m:rPr>
                <m:sty m:val="i"/>
              </m:rPr>
              <m:t>O</m:t>
            </m:r>
          </m:e>
          <m:sub>
            <m:r>
              <m:rPr>
                <m:sty m:val="i"/>
              </m:rPr>
              <m:t>e</m:t>
            </m:r>
          </m:sub>
        </m:sSub>
      </m:oMath>
      <w:r>
        <w:rPr/>
        <w:t xml:space="preserve"> et </w:t>
      </w:r>
      <m:oMath>
        <m:r>
          <m:rPr>
            <m:sty m:val="i"/>
          </m:rPr>
          <m:t>D</m:t>
        </m:r>
        <m:r>
          <m:rPr>
            <m:sty m:val="i"/>
          </m:rPr>
          <m:t>C</m:t>
        </m:r>
        <m:sSub>
          <m:sSubPr/>
          <m:e>
            <m:r>
              <m:rPr>
                <m:sty m:val="i"/>
              </m:rPr>
              <m:t>O</m:t>
            </m:r>
          </m:e>
          <m:sub>
            <m:r>
              <m:rPr>
                <m:sty m:val="i"/>
              </m:rPr>
              <m:t>s</m:t>
            </m:r>
          </m:sub>
        </m:sSub>
      </m:oMath>
      <w:r>
        <w:rPr>
          <w:rFonts w:eastAsia="Georgia" w:cs="Georgia" w:ascii="Georgia" w:hAnsi="Georgia"/>
        </w:rPr>
        <w:t xml:space="preserve"> représentent respectivement la demande chimique en oxygène en entrée et en sortie du réacteur, </w:t>
      </w:r>
      <m:oMath>
        <m:r>
          <m:rPr>
            <m:sty m:val="i"/>
          </m:rPr>
          <m:t>V</m:t>
        </m:r>
      </m:oMath>
      <w:r>
        <w:rPr>
          <w:rFonts w:eastAsia="Georgia" w:cs="Georgia" w:ascii="Georgia" w:hAnsi="Georgia"/>
        </w:rPr>
        <w:t xml:space="preserve"> le volume de la solution traitée, </w:t>
      </w:r>
      <m:oMath>
        <m:r>
          <m:rPr>
            <m:sty m:val="i"/>
          </m:rPr>
          <m:t>F</m:t>
        </m:r>
      </m:oMath>
      <w:r>
        <w:rPr/>
        <w:t xml:space="preserve"> la constante de Faraday, </w:t>
      </w:r>
      <m:oMath>
        <m:r>
          <m:rPr>
            <m:sty m:val="i"/>
          </m:rPr>
          <m:t>I</m:t>
        </m:r>
      </m:oMath>
      <w:r>
        <w:rPr>
          <w:rFonts w:eastAsia="Georgia" w:cs="Georgia" w:ascii="Georgia" w:hAnsi="Georgia"/>
        </w:rPr>
        <w:t xml:space="preserve"> le courant imposé, </w:t>
      </w:r>
      <m:oMath>
        <m:r>
          <m:rPr>
            <m:sty m:val="p"/>
          </m:rPr>
          <m:t>Δ</m:t>
        </m:r>
        <m:r>
          <m:rPr>
            <m:sty m:val="i"/>
          </m:rPr>
          <m:t>t</m:t>
        </m:r>
      </m:oMath>
      <w:r>
        <w:rPr/>
        <w:t xml:space="preserve"> le temps durant lequel le volume </w:t>
      </w:r>
      <m:oMath>
        <m:r>
          <m:rPr>
            <m:sty m:val="i"/>
          </m:rPr>
          <m:t>V</m:t>
        </m:r>
      </m:oMath>
      <w:r>
        <w:rPr>
          <w:rFonts w:eastAsia="Georgia" w:cs="Georgia" w:ascii="Georgia" w:hAnsi="Georgia"/>
        </w:rPr>
        <w:t xml:space="preserve"> a été électrolysé et </w:t>
      </w:r>
      <m:oMath>
        <m:sSub>
          <m:sSubPr/>
          <m:e>
            <m:r>
              <m:rPr>
                <m:sty m:val="i"/>
              </m:rPr>
              <m:t>M</m:t>
            </m:r>
          </m:e>
          <m:sub>
            <m:sSub>
              <m:sSubPr/>
              <m:e>
                <m:r>
                  <m:rPr>
                    <m:sty m:val="p"/>
                  </m:rPr>
                  <m:t>O</m:t>
                </m:r>
              </m:e>
              <m:sub>
                <m:r>
                  <m:rPr>
                    <m:sty m:val="p"/>
                  </m:rPr>
                  <m:t>2</m:t>
                </m:r>
              </m:sub>
            </m:sSub>
          </m:sub>
        </m:sSub>
      </m:oMath>
      <w:r>
        <w:rPr>
          <w:rFonts w:eastAsia="Georgia" w:cs="Georgia" w:ascii="Georgia" w:hAnsi="Georgia"/>
        </w:rPr>
        <w:t xml:space="preserve"> la masse molaire du dioxygène.</w:t>
      </w:r>
    </w:p>
    <w:p>
      <w:pPr>
        <w:spacing w:line="271" w:before="240" w:lineRule="auto"/>
      </w:pPr>
      <w:r>
        <w:rPr>
          <w:rFonts w:eastAsia="Georgia" w:cs="Georgia" w:ascii="Georgia" w:hAnsi="Georgia"/>
          <w:b/>
          <w:sz w:val="33"/>
        </w:rPr>
        <w:t xml:space="preserve">1.2 Performance des réacteurs en mode galvanostatique.</w:t>
      </w:r>
    </w:p>
    <w:p>
      <w:pPr>
        <w:spacing w:after="220" w:lineRule="auto"/>
      </w:pPr>
      <w:r>
        <w:rPr>
          <w:rFonts w:eastAsia="Georgia" w:cs="Georgia" w:ascii="Georgia" w:hAnsi="Georgia"/>
        </w:rPr>
        <w:t xml:space="preserve">Dans le cas d'une réaction électrochimique, qui se déroule à la surface de l'électrode et non pas en solution, il est préférable d'utiliser la vitesse de réaction </w:t>
      </w:r>
      <m:oMath>
        <m:r>
          <m:rPr>
            <m:sty m:val="i"/>
          </m:rPr>
          <m:t>v</m:t>
        </m:r>
        <m:r>
          <m:rPr>
            <m:sty m:val="p"/>
          </m:rPr>
          <m:t>=</m:t>
        </m:r>
        <m:r>
          <m:rPr>
            <m:sty m:val="p"/>
          </m:rPr>
          <m:t>−</m:t>
        </m:r>
        <m:f>
          <m:fPr>
            <m:ctrlPr>
              <w:rPr>
                <w:rFonts w:ascii="Cambria Math" w:hAnsi="Cambria Math"/>
              </w:rPr>
            </m:ctrlPr>
          </m:fPr>
          <m:num>
            <m:r>
              <m:rPr>
                <m:sty m:val="p"/>
              </m:rPr>
              <m:t>d</m:t>
            </m:r>
            <m:sSub>
              <m:sSubPr/>
              <m:e>
                <m:r>
                  <m:rPr>
                    <m:sty m:val="i"/>
                  </m:rPr>
                  <m:t>n</m:t>
                </m:r>
              </m:e>
              <m:sub>
                <m:r>
                  <m:rPr>
                    <m:nor/>
                  </m:rPr>
                  <m:t>Red </m:t>
                </m:r>
              </m:sub>
            </m:sSub>
          </m:num>
          <m:den>
            <m:r>
              <m:rPr>
                <m:sty m:val="p"/>
              </m:rPr>
              <m:t>d</m:t>
            </m:r>
            <m:r>
              <m:rPr>
                <m:sty m:val="i"/>
              </m:rPr>
              <m:t>t</m:t>
            </m:r>
          </m:den>
        </m:f>
      </m:oMath>
      <w:r>
        <w:rPr>
          <w:rFonts w:eastAsia="Georgia" w:cs="Georgia" w:ascii="Georgia" w:hAnsi="Georgia"/>
        </w:rPr>
        <w:t xml:space="preserve"> plutôt que la vitesse volumique de réaction, où </w:t>
      </w:r>
      <m:oMath>
        <m:sSub>
          <m:sSubPr/>
          <m:e>
            <m:r>
              <m:rPr>
                <m:sty m:val="i"/>
              </m:rPr>
              <m:t>n</m:t>
            </m:r>
          </m:e>
          <m:sub>
            <m:r>
              <m:rPr>
                <m:nor/>
              </m:rPr>
              <m:t>Red </m:t>
            </m:r>
          </m:sub>
        </m:sSub>
      </m:oMath>
      <w:r>
        <w:rPr>
          <w:rFonts w:eastAsia="Georgia" w:cs="Georgia" w:ascii="Georgia" w:hAnsi="Georgia"/>
        </w:rPr>
        <w:t xml:space="preserve"> désigne la quantité de matière du réducteur.</w:t>
      </w:r>
      <w:r>
        <w:rPr/>
        <w:br w:type="textWrapping"/>
      </w:r>
      <w:r>
        <w:rPr>
          <w:rFonts w:eastAsia="Georgia" w:cs="Georgia" w:ascii="Georgia" w:hAnsi="Georgia"/>
        </w:rPr>
        <w:t xml:space="preserve">6. Justifier le lien entre la vitesse de la réaction et le courant utilisé pour la réaction chimique </w:t>
      </w:r>
      <m:oMath>
        <m:sSub>
          <m:sSubPr/>
          <m:e>
            <m:r>
              <m:rPr>
                <m:sty m:val="i"/>
              </m:rPr>
              <m:t>I</m:t>
            </m:r>
          </m:e>
          <m:sub>
            <m:r>
              <m:rPr>
                <m:sty m:val="i"/>
              </m:rPr>
              <m:t>F</m:t>
            </m:r>
          </m:sub>
        </m:sSub>
      </m:oMath>
      <w:r>
        <w:rPr/>
        <w:t xml:space="preserve"> :</w:t>
      </w:r>
    </w:p>
    <w:p>
      <w:pPr>
        <w:spacing w:after="220" w:lineRule="auto"/>
      </w:pPr>
      <m:oMathPara>
        <m:oMath>
          <m:sSub>
            <m:sSubPr/>
            <m:e>
              <m:r>
                <m:rPr>
                  <m:sty m:val="i"/>
                </m:rPr>
                <m:t>I</m:t>
              </m:r>
            </m:e>
            <m:sub>
              <m:r>
                <m:rPr>
                  <m:sty m:val="i"/>
                </m:rPr>
                <m:t>F</m:t>
              </m:r>
            </m:sub>
          </m:sSub>
          <m:r>
            <m:rPr>
              <m:sty m:val="p"/>
            </m:rPr>
            <m:t>=</m:t>
          </m:r>
          <m:r>
            <m:rPr>
              <m:sty m:val="i"/>
            </m:rPr>
            <m:t>n</m:t>
          </m:r>
          <m:r>
            <m:rPr>
              <m:sty m:val="i"/>
            </m:rPr>
            <m:t>F</m:t>
          </m:r>
          <m:r>
            <m:rPr>
              <m:sty m:val="i"/>
            </m:rPr>
            <m:t>v</m:t>
          </m:r>
        </m:oMath>
      </m:oMathPara>
    </w:p>
    <w:p>
      <w:pPr>
        <w:spacing w:after="220" w:lineRule="auto"/>
      </w:pPr>
      <w:r>
        <w:rPr>
          <w:rFonts w:eastAsia="Georgia" w:cs="Georgia" w:ascii="Georgia" w:hAnsi="Georgia"/>
        </w:rPr>
        <w:t xml:space="preserve">où on rappelera la signification de </w:t>
      </w:r>
      <m:oMath>
        <m:r>
          <m:rPr>
            <m:sty m:val="i"/>
          </m:rPr>
          <m:t>n</m:t>
        </m:r>
      </m:oMath>
      <w:r>
        <w:rPr>
          <w:rFonts w:eastAsia="Georgia" w:cs="Georgia" w:ascii="Georgia" w:hAnsi="Georgia"/>
        </w:rPr>
        <w:t xml:space="preserve"> et où </w:t>
      </w:r>
      <m:oMath>
        <m:r>
          <m:rPr>
            <m:sty m:val="i"/>
          </m:rPr>
          <m:t>F</m:t>
        </m:r>
      </m:oMath>
      <w:r>
        <w:rPr/>
        <w:t xml:space="preserve"> la constante de Faraday.</w:t>
      </w:r>
    </w:p>
    <w:p>
      <w:pPr>
        <w:spacing w:after="220" w:lineRule="auto"/>
      </w:pPr>
      <w:r>
        <w:rPr>
          <w:rFonts w:eastAsia="Georgia" w:cs="Georgia" w:ascii="Georgia" w:hAnsi="Georgia"/>
        </w:rPr>
        <w:t xml:space="preserve">Dans un premier temps, le réacteur électrochimique est utilisé en mode galvanostatique, c'est-à-dire à courant constant </w:t>
      </w:r>
      <m:oMath>
        <m:sSub>
          <m:sSubPr/>
          <m:e>
            <m:r>
              <m:rPr>
                <m:sty m:val="i"/>
              </m:rPr>
              <m:t>I</m:t>
            </m:r>
          </m:e>
          <m:sub>
            <m:r>
              <m:rPr>
                <m:sty m:val="p"/>
              </m:rPr>
              <m:t>imp</m:t>
            </m:r>
          </m:sub>
        </m:sSub>
      </m:oMath>
      <w:r>
        <w:rPr>
          <w:rFonts w:eastAsia="Georgia" w:cs="Georgia" w:ascii="Georgia" w:hAnsi="Georgia"/>
        </w:rPr>
        <w:t xml:space="preserve">. En absence de réaction parasite, l'intégralité du courant est utilisé par la réaction chimique, donc </w:t>
      </w:r>
      <m:oMath>
        <m:sSub>
          <m:sSubPr/>
          <m:e>
            <m:r>
              <m:rPr>
                <m:sty m:val="i"/>
              </m:rPr>
              <m:t>I</m:t>
            </m:r>
          </m:e>
          <m:sub>
            <m:r>
              <m:rPr>
                <m:sty m:val="p"/>
              </m:rPr>
              <m:t>imp</m:t>
            </m:r>
          </m:sub>
        </m:sSub>
        <m:r>
          <m:rPr>
            <m:sty m:val="p"/>
          </m:rPr>
          <m:t>=</m:t>
        </m:r>
        <m:sSub>
          <m:sSubPr/>
          <m:e>
            <m:r>
              <m:rPr>
                <m:sty m:val="i"/>
              </m:rPr>
              <m:t>I</m:t>
            </m:r>
          </m:e>
          <m:sub>
            <m:r>
              <m:rPr>
                <m:sty m:val="i"/>
              </m:rPr>
              <m:t>F</m:t>
            </m:r>
          </m:sub>
        </m:sSub>
      </m:oMath>
      <w:r>
        <w:rPr>
          <w:rFonts w:eastAsia="Georgia" w:cs="Georgia" w:ascii="Georgia" w:hAnsi="Georgia"/>
        </w:rPr>
        <w:t xml:space="preserve">. Dans la suite, la concentration en phénol sera notée </w:t>
      </w:r>
      <m:oMath>
        <m:r>
          <m:rPr>
            <m:sty m:val="i"/>
          </m:rPr>
          <m:t>c</m:t>
        </m:r>
      </m:oMath>
      <w:r>
        <w:rPr/>
        <w:t xml:space="preserve">.</w:t>
      </w:r>
      <w:r>
        <w:rPr/>
        <w:br w:type="textWrapping"/>
      </w:r>
      <w:r>
        <w:rPr>
          <w:rFonts w:eastAsia="Georgia" w:cs="Georgia" w:ascii="Georgia" w:hAnsi="Georgia"/>
        </w:rPr>
        <w:t xml:space="preserve">7. En utilisant la réponse à la question précédente, donner l'ordre de la réaction par rapport au phénol en mode galvanostatique. En déduire que, quel que soit le type de réacteur utilisé, ouvert ou fermé, la quantité de polluant éliminée par unité de temps est la même.</w:t>
      </w:r>
      <w:r>
        <w:rPr/>
        <w:br w:type="textWrapping"/>
      </w:r>
      <w:r>
        <w:rPr>
          <w:rFonts w:eastAsia="Georgia" w:cs="Georgia" w:ascii="Georgia" w:hAnsi="Georgia"/>
        </w:rPr>
        <w:t xml:space="preserve">8. Donner l'expression de la concentration en phénol </w:t>
      </w:r>
      <m:oMath>
        <m:r>
          <m:rPr>
            <m:sty m:val="i"/>
          </m:rPr>
          <m:t>c</m:t>
        </m:r>
      </m:oMath>
      <w:r>
        <w:rPr>
          <w:rFonts w:eastAsia="Georgia" w:cs="Georgia" w:ascii="Georgia" w:hAnsi="Georgia"/>
        </w:rPr>
        <w:t xml:space="preserve"> en fonction du temps dans un réacteur fermé en fonction de la concentration initiale </w:t>
      </w:r>
      <m:oMath>
        <m:sSub>
          <m:sSubPr/>
          <m:e>
            <m:r>
              <m:rPr>
                <m:sty m:val="i"/>
              </m:rPr>
              <m:t>c</m:t>
            </m:r>
          </m:e>
          <m:sub>
            <m:r>
              <m:rPr>
                <m:sty m:val="p"/>
              </m:rPr>
              <m:t>0</m:t>
            </m:r>
          </m:sub>
        </m:sSub>
      </m:oMath>
      <w:r>
        <w:rPr/>
        <w:t xml:space="preserve">, du courant </w:t>
      </w:r>
      <m:oMath>
        <m:sSub>
          <m:sSubPr/>
          <m:e>
            <m:r>
              <m:rPr>
                <m:sty m:val="i"/>
              </m:rPr>
              <m:t>I</m:t>
            </m:r>
          </m:e>
          <m:sub>
            <m:r>
              <m:rPr>
                <m:sty m:val="p"/>
              </m:rPr>
              <m:t>imp</m:t>
            </m:r>
          </m:sub>
        </m:sSub>
      </m:oMath>
      <w:r>
        <w:rPr>
          <w:rFonts w:eastAsia="Georgia" w:cs="Georgia" w:ascii="Georgia" w:hAnsi="Georgia"/>
        </w:rPr>
        <w:t xml:space="preserve"> imposé et du volume </w:t>
      </w:r>
      <m:oMath>
        <m:r>
          <m:rPr>
            <m:sty m:val="i"/>
          </m:rPr>
          <m:t>V</m:t>
        </m:r>
      </m:oMath>
      <w:r>
        <w:rPr>
          <w:rFonts w:eastAsia="Georgia" w:cs="Georgia" w:ascii="Georgia" w:hAnsi="Georgia"/>
        </w:rPr>
        <w:t xml:space="preserve"> du réacteur.</w:t>
      </w:r>
      <w:r>
        <w:rPr/>
        <w:br w:type="textWrapping"/>
      </w:r>
      <w:r>
        <w:rPr>
          <w:rFonts w:eastAsia="Georgia" w:cs="Georgia" w:ascii="Georgia" w:hAnsi="Georgia"/>
        </w:rPr>
        <w:t xml:space="preserve">L'allure de la courbe courant-potentiel pour l'oxydation du phénol est représentée sur la figure (1).</w:t>
      </w:r>
    </w:p>
    <w:p>
      <w:pPr>
        <w:spacing w:lineRule="auto"/>
        <w:jc w:val="center"/>
      </w:pPr>
      <w:r>
        <w:rPr/>
        <w:drawing>
          <wp:inline distB="0" distL="0" distR="0" distT="0">
            <wp:extent cx="5486400" cy="3266949"/>
            <wp:effectExtent b="0" l="0" r="0" t="0"/>
            <wp:docPr id="7" name="image-527c3b9bd6674be028e9d43891cea34f6148d283.jpg"/>
            <a:graphic>
              <a:graphicData uri="http://schemas.openxmlformats.org/drawingml/2006/picture">
                <pic:pic>
                  <pic:nvPicPr>
                    <pic:cNvPr id="7" name="image-527c3b9bd6674be028e9d43891cea34f6148d283.jpg" descr=""/>
                    <pic:cNvPicPr/>
                  </pic:nvPicPr>
                  <pic:blipFill>
                    <a:blip r:embed="rId11" cstate="print"/>
                    <a:srcRect b="0" l="0" r="0" t="0"/>
                    <a:stretch>
                      <a:fillRect/>
                    </a:stretch>
                  </pic:blipFill>
                  <pic:spPr>
                    <a:xfrm>
                      <a:off x="0" y="0"/>
                      <a:ext cx="5486400" cy="3266949"/>
                    </a:xfrm>
                    <a:prstGeom prst="rect"/>
                  </pic:spPr>
                </pic:pic>
              </a:graphicData>
            </a:graphic>
          </wp:inline>
        </w:drawing>
      </w:r>
    </w:p>
    <w:p>
      <w:pPr>
        <w:spacing w:lineRule="auto"/>
      </w:pPr>
      <w:r>
        <w:rPr>
          <w:rFonts w:eastAsia="Georgia" w:cs="Georgia" w:ascii="Georgia" w:hAnsi="Georgia"/>
        </w:rPr>
        <w:t xml:space="preserve">Figure 1 - Allure de la courbe courant-potentiel pour l'oxydation du phénol.</w:t>
      </w:r>
    </w:p>
    <w:p>
      <w:pPr>
        <w:numPr>
          <w:ilvl w:val="0"/>
          <w:numId w:val="19"/>
        </w:numPr>
        <w:spacing w:lineRule="auto"/>
      </w:pPr>
      <w:r>
        <w:rPr>
          <w:rFonts w:eastAsia="Georgia" w:cs="Georgia" w:ascii="Georgia" w:hAnsi="Georgia"/>
        </w:rPr>
        <w:t xml:space="preserve">Indiquer à quoi correspond le palier observé pour l'oxydation du phénol.</w:t>
      </w:r>
    </w:p>
    <w:p>
      <w:pPr>
        <w:spacing w:after="220" w:lineRule="auto"/>
      </w:pPr>
      <w:r>
        <w:rPr>
          <w:rFonts w:eastAsia="Georgia" w:cs="Georgia" w:ascii="Georgia" w:hAnsi="Georgia"/>
        </w:rPr>
        <w:t xml:space="preserve">Le courant limite associé à ce palier est donné par la relation :</w:t>
      </w:r>
    </w:p>
    <w:p>
      <w:pPr>
        <w:spacing w:after="220" w:lineRule="auto"/>
      </w:pPr>
      <m:oMathPara>
        <m:oMath>
          <m:sSub>
            <m:sSubPr/>
            <m:e>
              <m:r>
                <m:rPr>
                  <m:sty m:val="i"/>
                </m:rPr>
                <m:t>I</m:t>
              </m:r>
            </m:e>
            <m:sub>
              <m:r>
                <m:rPr>
                  <m:sty m:val="p"/>
                </m:rPr>
                <m:t>lim</m:t>
              </m:r>
            </m:sub>
          </m:sSub>
          <m:r>
            <m:rPr>
              <m:sty m:val="p"/>
            </m:rPr>
            <m:t>=</m:t>
          </m:r>
          <m:r>
            <m:rPr>
              <m:sty m:val="i"/>
            </m:rPr>
            <m:t>n</m:t>
          </m:r>
          <m:r>
            <m:rPr>
              <m:sty m:val="i"/>
            </m:rPr>
            <m:t>F</m:t>
          </m:r>
          <m:r>
            <m:rPr>
              <m:sty m:val="i"/>
            </m:rPr>
            <m:t>A</m:t>
          </m:r>
          <m:sSub>
            <m:sSubPr/>
            <m:e>
              <m:r>
                <m:rPr>
                  <m:sty m:val="i"/>
                </m:rPr>
                <m:t>k</m:t>
              </m:r>
            </m:e>
            <m:sub>
              <m:r>
                <m:rPr>
                  <m:sty m:val="i"/>
                </m:rPr>
                <m:t>m</m:t>
              </m:r>
            </m:sub>
          </m:sSub>
          <m:r>
            <m:rPr>
              <m:sty m:val="i"/>
            </m:rPr>
            <m:t>c</m:t>
          </m:r>
        </m:oMath>
      </m:oMathPara>
    </w:p>
    <w:p>
      <w:pPr>
        <w:spacing w:after="220" w:lineRule="auto"/>
      </w:pPr>
      <w:r>
        <w:rPr>
          <w:rFonts w:eastAsia="Georgia" w:cs="Georgia" w:ascii="Georgia" w:hAnsi="Georgia"/>
        </w:rPr>
        <w:t xml:space="preserve">où </w:t>
      </w:r>
      <m:oMath>
        <m:r>
          <m:rPr>
            <m:sty m:val="i"/>
          </m:rPr>
          <m:t>A</m:t>
        </m:r>
      </m:oMath>
      <w:r>
        <w:rPr>
          <w:rFonts w:eastAsia="Georgia" w:cs="Georgia" w:ascii="Georgia" w:hAnsi="Georgia"/>
        </w:rPr>
        <w:t xml:space="preserve"> est l'aire de l'électrode, </w:t>
      </w:r>
      <m:oMath>
        <m:sSub>
          <m:sSubPr/>
          <m:e>
            <m:r>
              <m:rPr>
                <m:sty m:val="i"/>
              </m:rPr>
              <m:t>k</m:t>
            </m:r>
          </m:e>
          <m:sub>
            <m:r>
              <m:rPr>
                <m:sty m:val="i"/>
              </m:rPr>
              <m:t>m</m:t>
            </m:r>
          </m:sub>
        </m:sSub>
      </m:oMath>
      <w:r>
        <w:rPr>
          <w:rFonts w:eastAsia="Georgia" w:cs="Georgia" w:ascii="Georgia" w:hAnsi="Georgia"/>
        </w:rPr>
        <w:t xml:space="preserve"> la constante cinétique de transport de matière vers l'électrode et </w:t>
      </w:r>
      <m:oMath>
        <m:r>
          <m:rPr>
            <m:sty m:val="i"/>
          </m:rPr>
          <m:t>c</m:t>
        </m:r>
      </m:oMath>
      <w:r>
        <w:rPr>
          <w:rFonts w:eastAsia="Georgia" w:cs="Georgia" w:ascii="Georgia" w:hAnsi="Georgia"/>
        </w:rPr>
        <w:t xml:space="preserve"> la concentration en phénol en solution.</w:t>
      </w:r>
      <w:r>
        <w:rPr/>
        <w:br w:type="textWrapping"/>
      </w:r>
      <w:r>
        <w:rPr>
          <w:rFonts w:eastAsia="Georgia" w:cs="Georgia" w:ascii="Georgia" w:hAnsi="Georgia"/>
        </w:rPr>
        <w:t xml:space="preserve">10. En reproduisant le schéma de la figure (1), tracer l'évolution de la courbe courant-potentiel au fur et à mesure de l'électrolyse.</w:t>
      </w:r>
      <w:r>
        <w:rPr/>
        <w:br w:type="textWrapping"/>
      </w:r>
      <w:r>
        <w:rPr>
          <w:rFonts w:eastAsia="Georgia" w:cs="Georgia" w:ascii="Georgia" w:hAnsi="Georgia"/>
        </w:rPr>
        <w:t xml:space="preserve">11. En déduire qu'à partir d'un instant </w:t>
      </w:r>
      <m:oMath>
        <m:sSub>
          <m:sSubPr/>
          <m:e>
            <m:r>
              <m:rPr>
                <m:sty m:val="i"/>
              </m:rPr>
              <m:t>t</m:t>
            </m:r>
          </m:e>
          <m:sub>
            <m:r>
              <m:rPr>
                <m:sty m:val="i"/>
              </m:rPr>
              <m:t>m</m:t>
            </m:r>
          </m:sub>
        </m:sSub>
      </m:oMath>
      <w:r>
        <w:rPr>
          <w:rFonts w:eastAsia="Georgia" w:cs="Georgia" w:ascii="Georgia" w:hAnsi="Georgia"/>
        </w:rPr>
        <w:t xml:space="preserve">, le rendement faradique n'est plus égal à 1 mais qu'il se déroule également une équation d'oxydation parasite sur l'électrode dont on donnera la demi-équation.</w:t>
      </w:r>
      <w:r>
        <w:rPr/>
        <w:br w:type="textWrapping"/>
      </w:r>
      <w:r>
        <w:rPr>
          <w:rFonts w:eastAsia="Georgia" w:cs="Georgia" w:ascii="Georgia" w:hAnsi="Georgia"/>
        </w:rPr>
        <w:t xml:space="preserve">La réaction peut donc être découpée en deux temps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r>
                      <m:rPr>
                        <m:sty m:val="i"/>
                      </m:rPr>
                      <m:t>t</m:t>
                    </m:r>
                    <m:r>
                      <m:rPr>
                        <m:sty m:val="p"/>
                      </m:rPr>
                      <m:t>&lt;</m:t>
                    </m:r>
                    <m:sSub>
                      <m:sSubPr/>
                      <m:e>
                        <m:r>
                          <m:rPr>
                            <m:sty m:val="i"/>
                          </m:rPr>
                          <m:t>t</m:t>
                        </m:r>
                      </m:e>
                      <m:sub>
                        <m:r>
                          <m:rPr>
                            <m:sty m:val="i"/>
                          </m:rPr>
                          <m:t>m</m:t>
                        </m:r>
                      </m:sub>
                    </m:sSub>
                    <m:r>
                      <m:rPr>
                        <m:sty m:val="p"/>
                      </m:rPr>
                      <m:t>,</m:t>
                    </m:r>
                  </m:e>
                  <m:e>
                    <m:sSub>
                      <m:sSubPr/>
                      <m:e>
                        <m:r>
                          <m:rPr>
                            <m:sty m:val="i"/>
                          </m:rPr>
                          <m:t>I</m:t>
                        </m:r>
                      </m:e>
                      <m:sub>
                        <m:r>
                          <m:rPr>
                            <m:sty m:val="i"/>
                          </m:rPr>
                          <m:t>F</m:t>
                        </m:r>
                      </m:sub>
                    </m:sSub>
                    <m:r>
                      <m:rPr>
                        <m:sty m:val="p"/>
                      </m:rPr>
                      <m:t>=</m:t>
                    </m:r>
                    <m:sSub>
                      <m:sSubPr/>
                      <m:e>
                        <m:r>
                          <m:rPr>
                            <m:sty m:val="i"/>
                          </m:rPr>
                          <m:t>I</m:t>
                        </m:r>
                      </m:e>
                      <m:sub>
                        <m:r>
                          <m:rPr>
                            <m:sty m:val="p"/>
                          </m:rPr>
                          <m:t>imp</m:t>
                        </m:r>
                      </m:sub>
                    </m:sSub>
                    <m:r>
                      <m:rPr>
                        <m:nor/>
                      </m:rPr>
                      <m:t> constant </m:t>
                    </m:r>
                  </m:e>
                </m:mr>
                <m:mr>
                  <m:e>
                    <m:r>
                      <m:rPr>
                        <m:sty m:val="i"/>
                      </m:rPr>
                      <m:t>t</m:t>
                    </m:r>
                    <m:r>
                      <m:rPr>
                        <m:sty m:val="p"/>
                      </m:rPr>
                      <m:t>=</m:t>
                    </m:r>
                    <m:sSub>
                      <m:sSubPr/>
                      <m:e>
                        <m:r>
                          <m:rPr>
                            <m:sty m:val="i"/>
                          </m:rPr>
                          <m:t>t</m:t>
                        </m:r>
                      </m:e>
                      <m:sub>
                        <m:r>
                          <m:rPr>
                            <m:sty m:val="i"/>
                          </m:rPr>
                          <m:t>m</m:t>
                        </m:r>
                      </m:sub>
                    </m:sSub>
                    <m:r>
                      <m:rPr>
                        <m:sty m:val="p"/>
                      </m:rPr>
                      <m:t>,</m:t>
                    </m:r>
                  </m:e>
                  <m:e>
                    <m:sSub>
                      <m:sSubPr/>
                      <m:e>
                        <m:r>
                          <m:rPr>
                            <m:sty m:val="i"/>
                          </m:rPr>
                          <m:t>I</m:t>
                        </m:r>
                      </m:e>
                      <m:sub>
                        <m:r>
                          <m:rPr>
                            <m:sty m:val="i"/>
                          </m:rPr>
                          <m:t>F</m:t>
                        </m:r>
                      </m:sub>
                    </m:sSub>
                    <m:r>
                      <m:rPr>
                        <m:sty m:val="p"/>
                      </m:rPr>
                      <m:t>=</m:t>
                    </m:r>
                    <m:sSub>
                      <m:sSubPr/>
                      <m:e>
                        <m:r>
                          <m:rPr>
                            <m:sty m:val="i"/>
                          </m:rPr>
                          <m:t>I</m:t>
                        </m:r>
                      </m:e>
                      <m:sub>
                        <m:r>
                          <m:rPr>
                            <m:sty m:val="p"/>
                          </m:rPr>
                          <m:t>imp</m:t>
                        </m:r>
                      </m:sub>
                    </m:sSub>
                    <m:r>
                      <m:rPr>
                        <m:sty m:val="p"/>
                      </m:rPr>
                      <m:t>=</m:t>
                    </m:r>
                    <m:sSub>
                      <m:sSubPr/>
                      <m:e>
                        <m:r>
                          <m:rPr>
                            <m:sty m:val="i"/>
                          </m:rPr>
                          <m:t>I</m:t>
                        </m:r>
                      </m:e>
                      <m:sub>
                        <m:r>
                          <m:rPr>
                            <m:sty m:val="p"/>
                          </m:rPr>
                          <m:t>lim</m:t>
                        </m:r>
                      </m:sub>
                    </m:sSub>
                    <m:r>
                      <m:rPr>
                        <m:sty m:val="p"/>
                      </m:rPr>
                      <m:t>=</m:t>
                    </m:r>
                    <m:r>
                      <m:rPr>
                        <m:sty m:val="i"/>
                      </m:rPr>
                      <m:t>n</m:t>
                    </m:r>
                    <m:r>
                      <m:rPr>
                        <m:sty m:val="i"/>
                      </m:rPr>
                      <m:t>F</m:t>
                    </m:r>
                    <m:r>
                      <m:rPr>
                        <m:sty m:val="i"/>
                      </m:rPr>
                      <m:t>A</m:t>
                    </m:r>
                    <m:sSub>
                      <m:sSubPr/>
                      <m:e>
                        <m:r>
                          <m:rPr>
                            <m:sty m:val="i"/>
                          </m:rPr>
                          <m:t>k</m:t>
                        </m:r>
                      </m:e>
                      <m:sub>
                        <m:r>
                          <m:rPr>
                            <m:sty m:val="i"/>
                          </m:rPr>
                          <m:t>m</m:t>
                        </m:r>
                      </m:sub>
                    </m:sSub>
                    <m:sSub>
                      <m:sSubPr/>
                      <m:e>
                        <m:r>
                          <m:rPr>
                            <m:sty m:val="i"/>
                          </m:rPr>
                          <m:t>c</m:t>
                        </m:r>
                      </m:e>
                      <m:sub>
                        <m:r>
                          <m:rPr>
                            <m:sty m:val="i"/>
                          </m:rPr>
                          <m:t>m</m:t>
                        </m:r>
                      </m:sub>
                    </m:sSub>
                  </m:e>
                </m:mr>
                <m:mr>
                  <m:e>
                    <m:r>
                      <m:rPr>
                        <m:sty m:val="i"/>
                      </m:rPr>
                      <m:t>t</m:t>
                    </m:r>
                    <m:r>
                      <m:rPr>
                        <m:sty m:val="p"/>
                      </m:rPr>
                      <m:t>&gt;</m:t>
                    </m:r>
                    <m:sSub>
                      <m:sSubPr/>
                      <m:e>
                        <m:r>
                          <m:rPr>
                            <m:sty m:val="i"/>
                          </m:rPr>
                          <m:t>t</m:t>
                        </m:r>
                      </m:e>
                      <m:sub>
                        <m:r>
                          <m:rPr>
                            <m:sty m:val="i"/>
                          </m:rPr>
                          <m:t>m</m:t>
                        </m:r>
                      </m:sub>
                    </m:sSub>
                    <m:r>
                      <m:rPr>
                        <m:sty m:val="p"/>
                      </m:rPr>
                      <m:t>,</m:t>
                    </m:r>
                  </m:e>
                  <m:e>
                    <m:sSub>
                      <m:sSubPr/>
                      <m:e>
                        <m:r>
                          <m:rPr>
                            <m:sty m:val="i"/>
                          </m:rPr>
                          <m:t>I</m:t>
                        </m:r>
                      </m:e>
                      <m:sub>
                        <m:r>
                          <m:rPr>
                            <m:sty m:val="i"/>
                          </m:rPr>
                          <m:t>F</m:t>
                        </m:r>
                      </m:sub>
                    </m:sSub>
                    <m:r>
                      <m:rPr>
                        <m:sty m:val="p"/>
                      </m:rPr>
                      <m:t>≠</m:t>
                    </m:r>
                    <m:sSub>
                      <m:sSubPr/>
                      <m:e>
                        <m:r>
                          <m:rPr>
                            <m:sty m:val="i"/>
                          </m:rPr>
                          <m:t>I</m:t>
                        </m:r>
                      </m:e>
                      <m:sub>
                        <m:r>
                          <m:rPr>
                            <m:sty m:val="p"/>
                          </m:rPr>
                          <m:t>imp</m:t>
                        </m:r>
                      </m:sub>
                    </m:sSub>
                    <m:r>
                      <m:rPr>
                        <m:nor/>
                      </m:rPr>
                      <m:t> et </m:t>
                    </m:r>
                    <m:sSub>
                      <m:sSubPr/>
                      <m:e>
                        <m:r>
                          <m:rPr>
                            <m:sty m:val="i"/>
                          </m:rPr>
                          <m:t>I</m:t>
                        </m:r>
                      </m:e>
                      <m:sub>
                        <m:r>
                          <m:rPr>
                            <m:sty m:val="i"/>
                          </m:rPr>
                          <m:t>F</m:t>
                        </m:r>
                      </m:sub>
                    </m:sSub>
                    <m:r>
                      <m:rPr>
                        <m:sty m:val="p"/>
                      </m:rPr>
                      <m:t>=</m:t>
                    </m:r>
                    <m:sSub>
                      <m:sSubPr/>
                      <m:e>
                        <m:r>
                          <m:rPr>
                            <m:sty m:val="i"/>
                          </m:rPr>
                          <m:t>I</m:t>
                        </m:r>
                      </m:e>
                      <m:sub>
                        <m:r>
                          <m:rPr>
                            <m:sty m:val="p"/>
                          </m:rPr>
                          <m:t>lim</m:t>
                        </m:r>
                      </m:sub>
                    </m:sSub>
                    <m:r>
                      <m:rPr>
                        <m:sty m:val="p"/>
                      </m:rPr>
                      <m:t>=</m:t>
                    </m:r>
                    <m:r>
                      <m:rPr>
                        <m:sty m:val="i"/>
                      </m:rPr>
                      <m:t>n</m:t>
                    </m:r>
                    <m:r>
                      <m:rPr>
                        <m:sty m:val="i"/>
                      </m:rPr>
                      <m:t>F</m:t>
                    </m:r>
                    <m:r>
                      <m:rPr>
                        <m:sty m:val="i"/>
                      </m:rPr>
                      <m:t>A</m:t>
                    </m:r>
                    <m:sSub>
                      <m:sSubPr/>
                      <m:e>
                        <m:r>
                          <m:rPr>
                            <m:sty m:val="i"/>
                          </m:rPr>
                          <m:t>k</m:t>
                        </m:r>
                      </m:e>
                      <m:sub>
                        <m:r>
                          <m:rPr>
                            <m:sty m:val="i"/>
                          </m:rPr>
                          <m:t>m</m:t>
                        </m:r>
                      </m:sub>
                    </m:sSub>
                    <m:r>
                      <m:rPr>
                        <m:sty m:val="i"/>
                      </m:rPr>
                      <m:t>c</m:t>
                    </m:r>
                  </m:e>
                </m:mr>
              </m:m>
            </m:e>
          </m:d>
        </m:oMath>
      </m:oMathPara>
    </w:p>
    <w:p>
      <w:pPr>
        <w:spacing w:after="220" w:lineRule="auto"/>
      </w:pPr>
      <w:r>
        <w:rPr>
          <w:rFonts w:eastAsia="Georgia" w:cs="Georgia" w:ascii="Georgia" w:hAnsi="Georgia"/>
        </w:rPr>
        <w:t xml:space="preserve">La concentration en phénol à l'instant </w:t>
      </w:r>
      <m:oMath>
        <m:r>
          <m:rPr>
            <m:sty m:val="i"/>
          </m:rPr>
          <m:t>t</m:t>
        </m:r>
        <m:r>
          <m:rPr>
            <m:sty m:val="p"/>
          </m:rPr>
          <m:t>=</m:t>
        </m:r>
        <m:sSub>
          <m:sSubPr/>
          <m:e>
            <m:r>
              <m:rPr>
                <m:sty m:val="i"/>
              </m:rPr>
              <m:t>t</m:t>
            </m:r>
          </m:e>
          <m:sub>
            <m:r>
              <m:rPr>
                <m:sty m:val="i"/>
              </m:rPr>
              <m:t>m</m:t>
            </m:r>
          </m:sub>
        </m:sSub>
      </m:oMath>
      <w:r>
        <w:rPr>
          <w:rFonts w:eastAsia="Georgia" w:cs="Georgia" w:ascii="Georgia" w:hAnsi="Georgia"/>
        </w:rPr>
        <w:t xml:space="preserve"> sera notée </w:t>
      </w:r>
      <m:oMath>
        <m:sSub>
          <m:sSubPr/>
          <m:e>
            <m:r>
              <m:rPr>
                <m:sty m:val="i"/>
              </m:rPr>
              <m:t>c</m:t>
            </m:r>
          </m:e>
          <m:sub>
            <m:r>
              <m:rPr>
                <m:sty m:val="i"/>
              </m:rPr>
              <m:t>m</m:t>
            </m:r>
          </m:sub>
        </m:sSub>
      </m:oMath>
      <w:r>
        <w:rPr/>
        <w:t xml:space="preserve">.</w:t>
      </w:r>
      <w:r>
        <w:rPr/>
        <w:br w:type="textWrapping"/>
      </w:r>
      <w:r>
        <w:rPr>
          <w:rFonts w:eastAsia="Georgia" w:cs="Georgia" w:ascii="Georgia" w:hAnsi="Georgia"/>
        </w:rPr>
        <w:t xml:space="preserve">12. Exprimer l'évolution de la concentration en phénol </w:t>
      </w:r>
      <m:oMath>
        <m:r>
          <m:rPr>
            <m:sty m:val="i"/>
          </m:rPr>
          <m:t>c</m:t>
        </m:r>
      </m:oMath>
      <w:r>
        <w:rPr/>
        <w:t xml:space="preserve"> lorsque </w:t>
      </w:r>
      <m:oMath>
        <m:r>
          <m:rPr>
            <m:sty m:val="i"/>
          </m:rPr>
          <m:t>t</m:t>
        </m:r>
        <m:r>
          <m:rPr>
            <m:sty m:val="p"/>
          </m:rPr>
          <m:t>&gt;</m:t>
        </m:r>
        <m:sSub>
          <m:sSubPr/>
          <m:e>
            <m:r>
              <m:rPr>
                <m:sty m:val="i"/>
              </m:rPr>
              <m:t>t</m:t>
            </m:r>
          </m:e>
          <m:sub>
            <m:r>
              <m:rPr>
                <m:sty m:val="i"/>
              </m:rPr>
              <m:t>m</m:t>
            </m:r>
          </m:sub>
        </m:sSub>
      </m:oMath>
      <w:r>
        <w:rPr>
          <w:rFonts w:eastAsia="Georgia" w:cs="Georgia" w:ascii="Georgia" w:hAnsi="Georgia"/>
        </w:rPr>
        <w:t xml:space="preserve"> dans un réacteur fermé. Réécrire cette expression en faisant apparaître le temps caractéristique du transfert de masse :</w:t>
      </w:r>
    </w:p>
    <w:p>
      <w:pPr>
        <w:spacing w:after="220" w:lineRule="auto"/>
      </w:pPr>
      <m:oMathPara>
        <m:oMath>
          <m:sSub>
            <m:sSubPr/>
            <m:e>
              <m:r>
                <m:rPr>
                  <m:sty m:val="i"/>
                </m:rPr>
                <m:t>τ</m:t>
              </m:r>
            </m:e>
            <m:sub>
              <m:r>
                <m:rPr>
                  <m:sty m:val="i"/>
                </m:rPr>
                <m:t>m</m:t>
              </m:r>
            </m:sub>
          </m:sSub>
          <m:r>
            <m:rPr>
              <m:sty m:val="p"/>
            </m:rPr>
            <m:t>=</m:t>
          </m:r>
          <m:f>
            <m:fPr>
              <m:ctrlPr>
                <w:rPr>
                  <w:rFonts w:ascii="Cambria Math" w:hAnsi="Cambria Math"/>
                </w:rPr>
              </m:ctrlPr>
            </m:fPr>
            <m:num>
              <m:r>
                <m:rPr>
                  <m:sty m:val="i"/>
                </m:rPr>
                <m:t>V</m:t>
              </m:r>
            </m:num>
            <m:den>
              <m:r>
                <m:rPr>
                  <m:sty m:val="i"/>
                </m:rPr>
                <m:t>A</m:t>
              </m:r>
              <m:sSub>
                <m:sSubPr/>
                <m:e>
                  <m:r>
                    <m:rPr>
                      <m:sty m:val="i"/>
                    </m:rPr>
                    <m:t>k</m:t>
                  </m:r>
                </m:e>
                <m:sub>
                  <m:r>
                    <m:rPr>
                      <m:sty m:val="i"/>
                    </m:rPr>
                    <m:t>m</m:t>
                  </m:r>
                </m:sub>
              </m:sSub>
            </m:den>
          </m:f>
        </m:oMath>
      </m:oMathPara>
    </w:p>
    <w:p>
      <w:pPr>
        <w:numPr>
          <w:ilvl w:val="0"/>
          <w:numId w:val="20"/>
        </w:numPr>
        <w:spacing w:lineRule="auto"/>
      </w:pPr>
      <w:r>
        <w:rPr>
          <w:rFonts w:eastAsia="Georgia" w:cs="Georgia" w:ascii="Georgia" w:hAnsi="Georgia"/>
        </w:rPr>
        <w:t xml:space="preserve">Justifier que, par définition, le rendement faradique, lorsque </w:t>
      </w:r>
      <m:oMath>
        <m:r>
          <m:rPr>
            <m:sty m:val="i"/>
          </m:rPr>
          <m:t>t</m:t>
        </m:r>
        <m:r>
          <m:rPr>
            <m:sty m:val="p"/>
          </m:rPr>
          <m:t>&gt;</m:t>
        </m:r>
        <m:sSub>
          <m:sSubPr/>
          <m:e>
            <m:r>
              <m:rPr>
                <m:sty m:val="i"/>
              </m:rPr>
              <m:t>t</m:t>
            </m:r>
          </m:e>
          <m:sub>
            <m:r>
              <m:rPr>
                <m:sty m:val="i"/>
              </m:rPr>
              <m:t>m</m:t>
            </m:r>
          </m:sub>
        </m:sSub>
      </m:oMath>
      <w:r>
        <w:rPr/>
        <w:t xml:space="preserve">, s'exprime </w:t>
      </w:r>
      <m:oMath>
        <m:sSub>
          <m:sSubPr/>
          <m:e>
            <m:r>
              <m:rPr>
                <m:sty m:val="i"/>
              </m:rPr>
              <m:t>r</m:t>
            </m:r>
          </m:e>
          <m:sub>
            <m:r>
              <m:rPr>
                <m:sty m:val="i"/>
              </m:rPr>
              <m:t>F</m:t>
            </m:r>
          </m:sub>
        </m:sSub>
        <m:r>
          <m:rPr>
            <m:sty m:val="p"/>
          </m:rPr>
          <m:t>=</m:t>
        </m:r>
        <m:f>
          <m:fPr>
            <m:ctrlPr>
              <w:rPr>
                <w:rFonts w:ascii="Cambria Math" w:hAnsi="Cambria Math"/>
              </w:rPr>
            </m:ctrlPr>
          </m:fPr>
          <m:num>
            <m:sSub>
              <m:sSubPr/>
              <m:e>
                <m:r>
                  <m:rPr>
                    <m:sty m:val="i"/>
                  </m:rPr>
                  <m:t>I</m:t>
                </m:r>
              </m:e>
              <m:sub>
                <m:r>
                  <m:rPr>
                    <m:nor/>
                  </m:rPr>
                  <m:t>lim </m:t>
                </m:r>
              </m:sub>
            </m:sSub>
          </m:num>
          <m:den>
            <m:sSub>
              <m:sSubPr/>
              <m:e>
                <m:r>
                  <m:rPr>
                    <m:sty m:val="i"/>
                  </m:rPr>
                  <m:t>I</m:t>
                </m:r>
              </m:e>
              <m:sub>
                <m:r>
                  <m:rPr>
                    <m:nor/>
                  </m:rPr>
                  <m:t>imp </m:t>
                </m:r>
              </m:sub>
            </m:sSub>
          </m:den>
        </m:f>
      </m:oMath>
      <w:r>
        <w:rPr>
          <w:rFonts w:eastAsia="Georgia" w:cs="Georgia" w:ascii="Georgia" w:hAnsi="Georgia"/>
        </w:rPr>
        <w:t xml:space="preserve">. En déduire l'expression du rendement faradique en fonction du temps pour </w:t>
      </w:r>
      <m:oMath>
        <m:r>
          <m:rPr>
            <m:sty m:val="i"/>
          </m:rPr>
          <m:t>t</m:t>
        </m:r>
        <m:r>
          <m:rPr>
            <m:sty m:val="p"/>
          </m:rPr>
          <m:t>&gt;</m:t>
        </m:r>
        <m:sSub>
          <m:sSubPr/>
          <m:e>
            <m:r>
              <m:rPr>
                <m:sty m:val="i"/>
              </m:rPr>
              <m:t>t</m:t>
            </m:r>
          </m:e>
          <m:sub>
            <m:r>
              <m:rPr>
                <m:sty m:val="i"/>
              </m:rPr>
              <m:t>m</m:t>
            </m:r>
          </m:sub>
        </m:sSub>
      </m:oMath>
      <w:r>
        <w:rPr/>
        <w:t xml:space="preserve">.</w:t>
      </w:r>
      <w:r>
        <w:rPr/>
        <w:br w:type="textWrapping"/>
      </w:r>
      <w:r>
        <w:rPr>
          <w:rFonts w:eastAsia="Georgia" w:cs="Georgia" w:ascii="Georgia" w:hAnsi="Georgia"/>
        </w:rPr>
        <w:t xml:space="preserve">Les résultats obtenus expérimentalement pour la dépollution d'une solution de phénol et pour un courant imposé de </w:t>
      </w:r>
      <m:oMath>
        <m:r>
          <m:rPr>
            <m:sty m:val="p"/>
          </m:rPr>
          <m:t>1</m:t>
        </m:r>
        <m:r>
          <m:rPr>
            <m:sty m:val="p"/>
          </m:rPr>
          <m:t>,</m:t>
        </m:r>
        <m:r>
          <m:rPr>
            <m:sty m:val="p"/>
          </m:rPr>
          <m:t>5</m:t>
        </m:r>
        <m:r>
          <m:rPr>
            <m:nor/>
          </m:rPr>
          <m:t xml:space="preserve"> </m:t>
        </m:r>
        <m:r>
          <m:rPr>
            <m:sty m:val="p"/>
          </m:rPr>
          <m:t>A</m:t>
        </m:r>
      </m:oMath>
      <w:r>
        <w:rPr>
          <w:rFonts w:eastAsia="Georgia" w:cs="Georgia" w:ascii="Georgia" w:hAnsi="Georgia"/>
        </w:rPr>
        <w:t xml:space="preserve">, dans un réacteur de 250 mL et une électrode de surface </w:t>
      </w:r>
      <m:oMath>
        <m:r>
          <m:rPr>
            <m:sty m:val="p"/>
          </m:rPr>
          <m:t>64</m:t>
        </m:r>
        <m:sSup>
          <m:sSupPr/>
          <m:e>
            <m:r>
              <m:rPr>
                <m:nor/>
              </m:rPr>
              <m:t xml:space="preserve"> </m:t>
            </m:r>
            <m:r>
              <m:rPr>
                <m:sty m:val="p"/>
              </m:rPr>
              <m:t>cm</m:t>
            </m:r>
          </m:e>
          <m:sup>
            <m:r>
              <m:rPr>
                <m:sty m:val="p"/>
              </m:rPr>
              <m:t>2</m:t>
            </m:r>
          </m:sup>
        </m:sSup>
      </m:oMath>
      <w:r>
        <w:rPr>
          <w:rFonts w:eastAsia="Georgia" w:cs="Georgia" w:ascii="Georgia" w:hAnsi="Georgia"/>
        </w:rPr>
        <w:t xml:space="preserve"> sont présentés sur la figure</w:t>
      </w:r>
    </w:p>
    <w:p>
      <w:pPr>
        <w:spacing w:lineRule="auto"/>
        <w:jc w:val="center"/>
      </w:pPr>
      <w:r>
        <w:rPr/>
        <w:drawing>
          <wp:inline distB="0" distL="0" distR="0" distT="0">
            <wp:extent cx="5486400" cy="3035300"/>
            <wp:effectExtent b="0" l="0" r="0" t="0"/>
            <wp:docPr id="8" name="image-1e15e08d1d8068f9fdad83d2943e105d0dbcc143.jpg"/>
            <a:graphic>
              <a:graphicData uri="http://schemas.openxmlformats.org/drawingml/2006/picture">
                <pic:pic>
                  <pic:nvPicPr>
                    <pic:cNvPr id="8" name="image-1e15e08d1d8068f9fdad83d2943e105d0dbcc143.jpg" descr=""/>
                    <pic:cNvPicPr/>
                  </pic:nvPicPr>
                  <pic:blipFill>
                    <a:blip r:embed="rId12" cstate="print"/>
                    <a:srcRect b="0" l="0" r="0" t="0"/>
                    <a:stretch>
                      <a:fillRect/>
                    </a:stretch>
                  </pic:blipFill>
                  <pic:spPr>
                    <a:xfrm>
                      <a:off x="0" y="0"/>
                      <a:ext cx="5486400" cy="3035300"/>
                    </a:xfrm>
                    <a:prstGeom prst="rect"/>
                  </pic:spPr>
                </pic:pic>
              </a:graphicData>
            </a:graphic>
          </wp:inline>
        </w:drawing>
      </w:r>
    </w:p>
    <w:p>
      <w:pPr>
        <w:spacing w:lineRule="auto"/>
      </w:pPr>
      <w:r>
        <w:rPr>
          <w:rFonts w:eastAsia="Georgia" w:cs="Georgia" w:ascii="Georgia" w:hAnsi="Georgia"/>
        </w:rPr>
        <w:t xml:space="preserve">Figure 2 - Évolution de la demande chimique en oxygène </w:t>
      </w:r>
      <m:oMath>
        <m:r>
          <m:rPr>
            <m:sty m:val="i"/>
          </m:rPr>
          <m:t>D</m:t>
        </m:r>
        <m:r>
          <m:rPr>
            <m:sty m:val="i"/>
          </m:rPr>
          <m:t>C</m:t>
        </m:r>
        <m:r>
          <m:rPr>
            <m:sty m:val="i"/>
          </m:rPr>
          <m:t>O</m:t>
        </m:r>
      </m:oMath>
      <w:r>
        <w:rPr/>
        <w:t xml:space="preserve"> et du rendement faradique </w:t>
      </w:r>
      <m:oMath>
        <m:sSub>
          <m:sSubPr/>
          <m:e>
            <m:r>
              <m:rPr>
                <m:sty m:val="i"/>
              </m:rPr>
              <m:t>r</m:t>
            </m:r>
          </m:e>
          <m:sub>
            <m:r>
              <m:rPr>
                <m:sty m:val="i"/>
              </m:rPr>
              <m:t>F</m:t>
            </m:r>
          </m:sub>
        </m:sSub>
      </m:oMath>
      <w:r>
        <w:rPr>
          <w:rFonts w:eastAsia="Georgia" w:cs="Georgia" w:ascii="Georgia" w:hAnsi="Georgia"/>
        </w:rPr>
        <w:t xml:space="preserve"> en fonction du temps pour le phénol ( </w:t>
      </w:r>
      <m:oMath>
        <m:r>
          <m:rPr>
            <m:sty m:val="p"/>
          </m:rPr>
          <m:t>◯</m:t>
        </m:r>
      </m:oMath>
      <w:r>
        <w:rPr>
          <w:rFonts w:eastAsia="Georgia" w:cs="Georgia" w:ascii="Georgia" w:hAnsi="Georgia"/>
        </w:rPr>
        <w:t xml:space="preserve"> ). En trait plein est représentée la prédiction théorique.</w:t>
      </w:r>
    </w:p>
    <w:p>
      <w:pPr>
        <w:spacing w:lineRule="auto"/>
        <w:jc w:val="center"/>
      </w:pPr>
      <w:r>
        <w:rPr/>
        <w:drawing>
          <wp:inline distB="0" distL="0" distR="0" distT="0">
            <wp:extent cx="5486400" cy="3206044"/>
            <wp:effectExtent b="0" l="0" r="0" t="0"/>
            <wp:docPr id="9" name="image-05d1607ce0983f0956ea7f8b1640e4a2cd6c55bc.jpg"/>
            <a:graphic>
              <a:graphicData uri="http://schemas.openxmlformats.org/drawingml/2006/picture">
                <pic:pic>
                  <pic:nvPicPr>
                    <pic:cNvPr id="9" name="image-05d1607ce0983f0956ea7f8b1640e4a2cd6c55bc.jpg" descr=""/>
                    <pic:cNvPicPr/>
                  </pic:nvPicPr>
                  <pic:blipFill>
                    <a:blip r:embed="rId13" cstate="print"/>
                    <a:srcRect b="0" l="0" r="0" t="0"/>
                    <a:stretch>
                      <a:fillRect/>
                    </a:stretch>
                  </pic:blipFill>
                  <pic:spPr>
                    <a:xfrm>
                      <a:off x="0" y="0"/>
                      <a:ext cx="5486400" cy="3206044"/>
                    </a:xfrm>
                    <a:prstGeom prst="rect"/>
                  </pic:spPr>
                </pic:pic>
              </a:graphicData>
            </a:graphic>
          </wp:inline>
        </w:drawing>
      </w:r>
    </w:p>
    <w:p>
      <w:pPr>
        <w:spacing w:after="220" w:lineRule="auto"/>
      </w:pPr>
      <w:r>
        <w:rPr/>
        <w:br w:type="textWrapping"/>
      </w:r>
      <w:r>
        <w:rPr>
          <w:rFonts w:eastAsia="Georgia" w:cs="Georgia" w:ascii="Georgia" w:hAnsi="Georgia"/>
        </w:rPr>
        <w:t xml:space="preserve">14. Commenter les deux courbes obtenues expérimentalement en comparant avec l'étude théorique précédente.</w:t>
      </w:r>
    </w:p>
    <w:p>
      <w:pPr>
        <w:spacing w:line="271" w:before="240" w:lineRule="auto"/>
      </w:pPr>
      <w:r>
        <w:rPr>
          <w:rFonts w:eastAsia="Georgia" w:cs="Georgia" w:ascii="Georgia" w:hAnsi="Georgia"/>
          <w:b/>
          <w:sz w:val="33"/>
        </w:rPr>
        <w:t xml:space="preserve">1.3 Comparaison entre un réacteur parfaitement agité et un réacteur piston.</w:t>
      </w:r>
    </w:p>
    <w:p>
      <w:pPr>
        <w:spacing w:after="220" w:lineRule="auto"/>
      </w:pPr>
      <w:r>
        <w:rPr>
          <w:rFonts w:eastAsia="Georgia" w:cs="Georgia" w:ascii="Georgia" w:hAnsi="Georgia"/>
        </w:rPr>
        <w:t xml:space="preserve">Nous allons maintenant nous intéresser au cas des réacteurs ouverts. Les réacteurs seront supposés idéaux et le débit volumique d'entrée et de sortie sont égaux et seront notés </w:t>
      </w:r>
      <m:oMath>
        <m:r>
          <m:rPr>
            <m:sty m:val="i"/>
          </m:rPr>
          <m:t>Q</m:t>
        </m:r>
      </m:oMath>
      <w:r>
        <w:rPr>
          <w:rFonts w:eastAsia="Georgia" w:cs="Georgia" w:ascii="Georgia" w:hAnsi="Georgia"/>
        </w:rPr>
        <w:t xml:space="preserve">. Le réacteur fonctionne en mode potentiostatique avec un potentiel choisi de telle manière que la vitesse de la réaction est limitée par le transfert de matière vers l'électrode</w:t>
      </w:r>
    </w:p>
    <w:p>
      <w:pPr>
        <w:spacing w:after="220" w:lineRule="auto"/>
      </w:pPr>
      <m:oMathPara>
        <m:oMath>
          <m:r>
            <m:rPr>
              <m:sty m:val="i"/>
            </m:rPr>
            <m:t>v</m:t>
          </m:r>
          <m:r>
            <m:rPr>
              <m:sty m:val="p"/>
            </m:rPr>
            <m:t>=</m:t>
          </m:r>
          <m:r>
            <m:rPr>
              <m:sty m:val="p"/>
            </m:rPr>
            <m:t>−</m:t>
          </m:r>
          <m:f>
            <m:fPr>
              <m:ctrlPr>
                <w:rPr>
                  <w:rFonts w:ascii="Cambria Math" w:hAnsi="Cambria Math"/>
                </w:rPr>
              </m:ctrlPr>
            </m:fPr>
            <m:num>
              <m:r>
                <m:rPr>
                  <m:sty m:val="p"/>
                </m:rPr>
                <m:t>d</m:t>
              </m:r>
              <m:sSub>
                <m:sSubPr/>
                <m:e>
                  <m:r>
                    <m:rPr>
                      <m:sty m:val="i"/>
                    </m:rPr>
                    <m:t>n</m:t>
                  </m:r>
                </m:e>
                <m:sub>
                  <m:r>
                    <m:rPr>
                      <m:sty m:val="p"/>
                    </m:rPr>
                    <m:t>Red</m:t>
                  </m:r>
                </m:sub>
              </m:sSub>
            </m:num>
            <m:den>
              <m:r>
                <m:rPr>
                  <m:nor/>
                </m:rPr>
                <m:t xml:space="preserve"> </m:t>
              </m:r>
              <m:r>
                <m:rPr>
                  <m:sty m:val="p"/>
                </m:rPr>
                <m:t>d</m:t>
              </m:r>
              <m:r>
                <m:rPr>
                  <m:sty m:val="i"/>
                </m:rPr>
                <m:t>t</m:t>
              </m:r>
            </m:den>
          </m:f>
          <m:r>
            <m:rPr>
              <m:sty m:val="p"/>
            </m:rPr>
            <m:t>=</m:t>
          </m:r>
          <m:r>
            <m:rPr>
              <m:sty m:val="i"/>
            </m:rPr>
            <m:t>A</m:t>
          </m:r>
          <m:sSub>
            <m:sSubPr/>
            <m:e>
              <m:r>
                <m:rPr>
                  <m:sty m:val="i"/>
                </m:rPr>
                <m:t>k</m:t>
              </m:r>
            </m:e>
            <m:sub>
              <m:r>
                <m:rPr>
                  <m:sty m:val="i"/>
                </m:rPr>
                <m:t>m</m:t>
              </m:r>
            </m:sub>
          </m:sSub>
          <m:r>
            <m:rPr>
              <m:sty m:val="i"/>
            </m:rPr>
            <m:t>c</m:t>
          </m:r>
        </m:oMath>
      </m:oMathPara>
    </w:p>
    <w:p>
      <w:pPr>
        <w:spacing w:after="220" w:lineRule="auto"/>
      </w:pPr>
      <w:r>
        <w:rPr>
          <w:rFonts w:eastAsia="Georgia" w:cs="Georgia" w:ascii="Georgia" w:hAnsi="Georgia"/>
        </w:rPr>
        <w:t xml:space="preserve">où </w:t>
      </w:r>
      <m:oMath>
        <m:r>
          <m:rPr>
            <m:sty m:val="i"/>
          </m:rPr>
          <m:t>A</m:t>
        </m:r>
      </m:oMath>
      <w:r>
        <w:rPr>
          <w:rFonts w:eastAsia="Georgia" w:cs="Georgia" w:ascii="Georgia" w:hAnsi="Georgia"/>
        </w:rPr>
        <w:t xml:space="preserve"> est l'aire de l'électrode, </w:t>
      </w:r>
      <m:oMath>
        <m:sSub>
          <m:sSubPr/>
          <m:e>
            <m:r>
              <m:rPr>
                <m:sty m:val="i"/>
              </m:rPr>
              <m:t>k</m:t>
            </m:r>
          </m:e>
          <m:sub>
            <m:r>
              <m:rPr>
                <m:sty m:val="i"/>
              </m:rPr>
              <m:t>m</m:t>
            </m:r>
          </m:sub>
        </m:sSub>
      </m:oMath>
      <w:r>
        <w:rPr>
          <w:rFonts w:eastAsia="Georgia" w:cs="Georgia" w:ascii="Georgia" w:hAnsi="Georgia"/>
        </w:rPr>
        <w:t xml:space="preserve"> la constante cinétique de transport de matière et </w:t>
      </w:r>
      <m:oMath>
        <m:r>
          <m:rPr>
            <m:sty m:val="i"/>
          </m:rPr>
          <m:t>c</m:t>
        </m:r>
      </m:oMath>
      <w:r>
        <w:rPr>
          <w:rFonts w:eastAsia="Georgia" w:cs="Georgia" w:ascii="Georgia" w:hAnsi="Georgia"/>
        </w:rPr>
        <w:t xml:space="preserve"> la concentration en phénol.</w:t>
      </w:r>
    </w:p>
    <w:p>
      <w:pPr>
        <w:spacing w:after="220" w:lineRule="auto"/>
      </w:pPr>
      <w:r>
        <w:rPr>
          <w:rFonts w:eastAsia="Georgia" w:cs="Georgia" w:ascii="Georgia" w:hAnsi="Georgia"/>
        </w:rPr>
        <w:t xml:space="preserve">Le facteur de performance du réacteur est défini comme </w:t>
      </w:r>
      <m:oMath>
        <m:r>
          <m:rPr>
            <m:sty m:val="i"/>
          </m:rPr>
          <m:t>p</m:t>
        </m:r>
        <m:r>
          <m:rPr>
            <m:sty m:val="p"/>
          </m:rPr>
          <m:t>=</m:t>
        </m:r>
        <m:f>
          <m:fPr>
            <m:ctrlPr>
              <w:rPr>
                <w:rFonts w:ascii="Cambria Math" w:hAnsi="Cambria Math"/>
              </w:rPr>
            </m:ctrlPr>
          </m:fPr>
          <m:num>
            <m:sSub>
              <m:sSubPr/>
              <m:e>
                <m:r>
                  <m:rPr>
                    <m:sty m:val="i"/>
                  </m:rPr>
                  <m:t>k</m:t>
                </m:r>
              </m:e>
              <m:sub>
                <m:r>
                  <m:rPr>
                    <m:sty m:val="i"/>
                  </m:rPr>
                  <m:t>m</m:t>
                </m:r>
              </m:sub>
            </m:sSub>
            <m:r>
              <m:rPr>
                <m:sty m:val="i"/>
              </m:rPr>
              <m:t>A</m:t>
            </m:r>
          </m:num>
          <m:den>
            <m:r>
              <m:rPr>
                <m:sty m:val="i"/>
              </m:rPr>
              <m:t>Q</m:t>
            </m:r>
          </m:den>
        </m:f>
      </m:oMath>
      <w:r>
        <w:rPr/>
        <w:t xml:space="preserve">.</w:t>
      </w:r>
      <w:r>
        <w:rPr/>
        <w:br w:type="textWrapping"/>
      </w:r>
      <w:r>
        <w:rPr>
          <w:rFonts w:eastAsia="Georgia" w:cs="Georgia" w:ascii="Georgia" w:hAnsi="Georgia"/>
        </w:rPr>
        <w:t xml:space="preserve">15. Faire un bilan de matière dans le réacteur parfaitement agité en régime permanent (RPAC). On supposera que l'électrode est entièrement immergée dans la solution et que la concentration dans le réacteur est homogène. En déduire l'expression de la concentration en sortie </w:t>
      </w:r>
      <m:oMath>
        <m:sSub>
          <m:sSubPr/>
          <m:e>
            <m:r>
              <m:rPr>
                <m:sty m:val="i"/>
              </m:rPr>
              <m:t>c</m:t>
            </m:r>
          </m:e>
          <m:sub>
            <m:r>
              <m:rPr>
                <m:sty m:val="i"/>
              </m:rPr>
              <m:t>s</m:t>
            </m:r>
          </m:sub>
        </m:sSub>
      </m:oMath>
      <w:r>
        <w:rPr>
          <w:rFonts w:eastAsia="Georgia" w:cs="Georgia" w:ascii="Georgia" w:hAnsi="Georgia"/>
        </w:rPr>
        <w:t xml:space="preserve"> en fonction de la concentration en entrée </w:t>
      </w:r>
      <m:oMath>
        <m:sSub>
          <m:sSubPr/>
          <m:e>
            <m:r>
              <m:rPr>
                <m:sty m:val="i"/>
              </m:rPr>
              <m:t>c</m:t>
            </m:r>
          </m:e>
          <m:sub>
            <m:r>
              <m:rPr>
                <m:sty m:val="i"/>
              </m:rPr>
              <m:t>e</m:t>
            </m:r>
          </m:sub>
        </m:sSub>
      </m:oMath>
      <w:r>
        <w:rPr/>
        <w:t xml:space="preserve"> et du facteur de performance </w:t>
      </w:r>
      <m:oMath>
        <m:r>
          <m:rPr>
            <m:sty m:val="i"/>
          </m:rPr>
          <m:t>p</m:t>
        </m:r>
      </m:oMath>
      <w:r>
        <w:rPr>
          <w:rFonts w:eastAsia="Georgia" w:cs="Georgia" w:ascii="Georgia" w:hAnsi="Georgia"/>
        </w:rPr>
        <w:t xml:space="preserve"> du réacteur.</w:t>
      </w:r>
      <w:r>
        <w:rPr/>
        <w:br w:type="textWrapping"/>
      </w:r>
      <w:r>
        <w:rPr>
          <w:rFonts w:eastAsia="Georgia" w:cs="Georgia" w:ascii="Georgia" w:hAnsi="Georgia"/>
        </w:rPr>
        <w:t xml:space="preserve">16. En déduire l'expression du taux de conversion </w:t>
      </w:r>
      <m:oMath>
        <m:r>
          <m:rPr>
            <m:sty m:val="i"/>
          </m:rPr>
          <m:t>X</m:t>
        </m:r>
        <m:r>
          <m:rPr>
            <m:sty m:val="p"/>
          </m:rPr>
          <m:t>=</m:t>
        </m:r>
        <m:f>
          <m:fPr>
            <m:ctrlPr>
              <w:rPr>
                <w:rFonts w:ascii="Cambria Math" w:hAnsi="Cambria Math"/>
              </w:rPr>
            </m:ctrlPr>
          </m:fPr>
          <m:num>
            <m:sSub>
              <m:sSubPr/>
              <m:e>
                <m:r>
                  <m:rPr>
                    <m:sty m:val="i"/>
                  </m:rPr>
                  <m:t>c</m:t>
                </m:r>
              </m:e>
              <m:sub>
                <m:r>
                  <m:rPr>
                    <m:sty m:val="i"/>
                  </m:rPr>
                  <m:t>e</m:t>
                </m:r>
              </m:sub>
            </m:sSub>
            <m:r>
              <m:rPr>
                <m:sty m:val="p"/>
              </m:rPr>
              <m:t>−</m:t>
            </m:r>
            <m:sSub>
              <m:sSubPr/>
              <m:e>
                <m:r>
                  <m:rPr>
                    <m:sty m:val="i"/>
                  </m:rPr>
                  <m:t>c</m:t>
                </m:r>
              </m:e>
              <m:sub>
                <m:r>
                  <m:rPr>
                    <m:sty m:val="i"/>
                  </m:rPr>
                  <m:t>s</m:t>
                </m:r>
              </m:sub>
            </m:sSub>
          </m:num>
          <m:den>
            <m:sSub>
              <m:sSubPr/>
              <m:e>
                <m:r>
                  <m:rPr>
                    <m:sty m:val="i"/>
                  </m:rPr>
                  <m:t>c</m:t>
                </m:r>
              </m:e>
              <m:sub>
                <m:r>
                  <m:rPr>
                    <m:sty m:val="i"/>
                  </m:rPr>
                  <m:t>e</m:t>
                </m:r>
              </m:sub>
            </m:sSub>
          </m:den>
        </m:f>
      </m:oMath>
      <w:r>
        <w:rPr>
          <w:rFonts w:eastAsia="Georgia" w:cs="Georgia" w:ascii="Georgia" w:hAnsi="Georgia"/>
        </w:rPr>
        <w:t xml:space="preserve"> pour le réacteur parfaitement agité en fonction du facteur de performance </w:t>
      </w:r>
      <m:oMath>
        <m:r>
          <m:rPr>
            <m:sty m:val="i"/>
          </m:rPr>
          <m:t>p</m:t>
        </m:r>
      </m:oMath>
      <w:r>
        <w:rPr>
          <w:rFonts w:eastAsia="Georgia" w:cs="Georgia" w:ascii="Georgia" w:hAnsi="Georgia"/>
        </w:rPr>
        <w:t xml:space="preserve"> du réacteur.</w:t>
      </w:r>
    </w:p>
    <w:p>
      <w:pPr>
        <w:spacing w:after="220" w:lineRule="auto"/>
      </w:pPr>
      <w:r>
        <w:rPr>
          <w:rFonts w:eastAsia="Georgia" w:cs="Georgia" w:ascii="Georgia" w:hAnsi="Georgia"/>
        </w:rPr>
        <w:t xml:space="preserve">Pour le réacteur piston, on considère pour simplifier que l'anode est une plaque de largeur </w:t>
      </w:r>
      <m:oMath>
        <m:r>
          <m:rPr>
            <m:sty m:val="i"/>
          </m:rPr>
          <m:t>L</m:t>
        </m:r>
      </m:oMath>
      <w:r>
        <w:rPr/>
        <w:t xml:space="preserve"> et de longueur </w:t>
      </w:r>
      <m:oMath>
        <m:r>
          <m:rPr>
            <m:sty m:val="i"/>
          </m:rPr>
          <m:t>l</m:t>
        </m:r>
      </m:oMath>
      <w:r>
        <w:rPr>
          <w:rFonts w:eastAsia="Georgia" w:cs="Georgia" w:ascii="Georgia" w:hAnsi="Georgia"/>
        </w:rPr>
        <w:t xml:space="preserve"> et que l'écoulement à lieu le long de la longueur comme représenté sur la figure (3).</w:t>
      </w:r>
      <w:r>
        <w:rPr/>
        <w:br w:type="textWrapping"/>
      </w:r>
      <w:r>
        <w:rPr>
          <w:rFonts w:eastAsia="Georgia" w:cs="Georgia" w:ascii="Georgia" w:hAnsi="Georgia"/>
        </w:rPr>
        <w:t xml:space="preserve">17. Faire un bilan de matière au sein d'une couche élémentaire d'épaisseur </w:t>
      </w:r>
      <m:oMath>
        <m:r>
          <m:rPr>
            <m:sty m:val="p"/>
          </m:rPr>
          <m:t>d</m:t>
        </m:r>
        <m:r>
          <m:rPr>
            <m:sty m:val="i"/>
          </m:rPr>
          <m:t>x</m:t>
        </m:r>
      </m:oMath>
      <w:r>
        <w:rPr>
          <w:rFonts w:eastAsia="Georgia" w:cs="Georgia" w:ascii="Georgia" w:hAnsi="Georgia"/>
        </w:rPr>
        <w:t xml:space="preserve">. En déduire l'expression de la concentration en sortie </w:t>
      </w:r>
      <m:oMath>
        <m:sSub>
          <m:sSubPr/>
          <m:e>
            <m:r>
              <m:rPr>
                <m:sty m:val="i"/>
              </m:rPr>
              <m:t>c</m:t>
            </m:r>
          </m:e>
          <m:sub>
            <m:r>
              <m:rPr>
                <m:sty m:val="i"/>
              </m:rPr>
              <m:t>s</m:t>
            </m:r>
          </m:sub>
        </m:sSub>
      </m:oMath>
      <w:r>
        <w:rPr>
          <w:rFonts w:eastAsia="Georgia" w:cs="Georgia" w:ascii="Georgia" w:hAnsi="Georgia"/>
        </w:rPr>
        <w:t xml:space="preserve"> en fonction de la concentration en entrée </w:t>
      </w:r>
      <m:oMath>
        <m:sSub>
          <m:sSubPr/>
          <m:e>
            <m:r>
              <m:rPr>
                <m:sty m:val="i"/>
              </m:rPr>
              <m:t>c</m:t>
            </m:r>
          </m:e>
          <m:sub>
            <m:r>
              <m:rPr>
                <m:sty m:val="i"/>
              </m:rPr>
              <m:t>e</m:t>
            </m:r>
          </m:sub>
        </m:sSub>
      </m:oMath>
      <w:r>
        <w:rPr/>
        <w:t xml:space="preserve"> et du facteur de performance </w:t>
      </w:r>
      <m:oMath>
        <m:r>
          <m:rPr>
            <m:sty m:val="i"/>
          </m:rPr>
          <m:t>p</m:t>
        </m:r>
      </m:oMath>
      <w:r>
        <w:rPr>
          <w:rFonts w:eastAsia="Georgia" w:cs="Georgia" w:ascii="Georgia" w:hAnsi="Georgia"/>
        </w:rPr>
        <w:t xml:space="preserve"> du réacteur.</w:t>
      </w:r>
    </w:p>
    <w:p>
      <w:pPr>
        <w:spacing w:lineRule="auto"/>
        <w:jc w:val="center"/>
      </w:pPr>
      <w:r>
        <w:rPr/>
        <w:drawing>
          <wp:inline distB="0" distL="0" distR="0" distT="0">
            <wp:extent cx="5486400" cy="2252209"/>
            <wp:effectExtent b="0" l="0" r="0" t="0"/>
            <wp:docPr id="10" name="image-d88c183c7fb6811ae73e5d3a168dd2334ae1d62f.jpg"/>
            <a:graphic>
              <a:graphicData uri="http://schemas.openxmlformats.org/drawingml/2006/picture">
                <pic:pic>
                  <pic:nvPicPr>
                    <pic:cNvPr id="10" name="image-d88c183c7fb6811ae73e5d3a168dd2334ae1d62f.jpg" descr=""/>
                    <pic:cNvPicPr/>
                  </pic:nvPicPr>
                  <pic:blipFill>
                    <a:blip r:embed="rId14" cstate="print"/>
                    <a:srcRect b="0" l="0" r="0" t="0"/>
                    <a:stretch>
                      <a:fillRect/>
                    </a:stretch>
                  </pic:blipFill>
                  <pic:spPr>
                    <a:xfrm>
                      <a:off x="0" y="0"/>
                      <a:ext cx="5486400" cy="2252209"/>
                    </a:xfrm>
                    <a:prstGeom prst="rect"/>
                  </pic:spPr>
                </pic:pic>
              </a:graphicData>
            </a:graphic>
          </wp:inline>
        </w:drawing>
      </w:r>
    </w:p>
    <w:p>
      <w:pPr>
        <w:spacing w:lineRule="auto"/>
      </w:pPr>
      <w:r>
        <w:rPr>
          <w:rFonts w:eastAsia="Georgia" w:cs="Georgia" w:ascii="Georgia" w:hAnsi="Georgia"/>
        </w:rPr>
        <w:t xml:space="preserve">Figure 3 - Schéma de fonctionnement du réacteur piston.</w:t>
      </w:r>
    </w:p>
    <w:p>
      <w:pPr>
        <w:numPr>
          <w:ilvl w:val="0"/>
          <w:numId w:val="21"/>
        </w:numPr>
        <w:spacing w:lineRule="auto"/>
      </w:pPr>
      <w:r>
        <w:rPr>
          <w:rFonts w:eastAsia="Georgia" w:cs="Georgia" w:ascii="Georgia" w:hAnsi="Georgia"/>
        </w:rPr>
        <w:t xml:space="preserve">En déduire l'expression du taux de conversion </w:t>
      </w:r>
      <m:oMath>
        <m:r>
          <m:rPr>
            <m:sty m:val="i"/>
          </m:rPr>
          <m:t>X</m:t>
        </m:r>
        <m:r>
          <m:rPr>
            <m:sty m:val="p"/>
          </m:rPr>
          <m:t>=</m:t>
        </m:r>
        <m:f>
          <m:fPr>
            <m:ctrlPr>
              <w:rPr>
                <w:rFonts w:ascii="Cambria Math" w:hAnsi="Cambria Math"/>
              </w:rPr>
            </m:ctrlPr>
          </m:fPr>
          <m:num>
            <m:sSub>
              <m:sSubPr/>
              <m:e>
                <m:r>
                  <m:rPr>
                    <m:sty m:val="i"/>
                  </m:rPr>
                  <m:t>c</m:t>
                </m:r>
              </m:e>
              <m:sub>
                <m:r>
                  <m:rPr>
                    <m:sty m:val="i"/>
                  </m:rPr>
                  <m:t>e</m:t>
                </m:r>
              </m:sub>
            </m:sSub>
            <m:r>
              <m:rPr>
                <m:sty m:val="p"/>
              </m:rPr>
              <m:t>−</m:t>
            </m:r>
            <m:sSub>
              <m:sSubPr/>
              <m:e>
                <m:r>
                  <m:rPr>
                    <m:sty m:val="i"/>
                  </m:rPr>
                  <m:t>c</m:t>
                </m:r>
              </m:e>
              <m:sub>
                <m:r>
                  <m:rPr>
                    <m:sty m:val="i"/>
                  </m:rPr>
                  <m:t>s</m:t>
                </m:r>
              </m:sub>
            </m:sSub>
          </m:num>
          <m:den>
            <m:sSub>
              <m:sSubPr/>
              <m:e>
                <m:r>
                  <m:rPr>
                    <m:sty m:val="i"/>
                  </m:rPr>
                  <m:t>c</m:t>
                </m:r>
              </m:e>
              <m:sub>
                <m:r>
                  <m:rPr>
                    <m:sty m:val="i"/>
                  </m:rPr>
                  <m:t>e</m:t>
                </m:r>
              </m:sub>
            </m:sSub>
          </m:den>
        </m:f>
      </m:oMath>
      <w:r>
        <w:rPr>
          <w:rFonts w:eastAsia="Georgia" w:cs="Georgia" w:ascii="Georgia" w:hAnsi="Georgia"/>
        </w:rPr>
        <w:t xml:space="preserve"> pour le réacteur piston en fonction du facteur de performance </w:t>
      </w:r>
      <m:oMath>
        <m:r>
          <m:rPr>
            <m:sty m:val="i"/>
          </m:rPr>
          <m:t>p</m:t>
        </m:r>
      </m:oMath>
      <w:r>
        <w:rPr>
          <w:rFonts w:eastAsia="Georgia" w:cs="Georgia" w:ascii="Georgia" w:hAnsi="Georgia"/>
        </w:rPr>
        <w:t xml:space="preserve"> du réacteur.</w:t>
      </w:r>
    </w:p>
    <w:p>
      <w:pPr>
        <w:spacing w:after="220" w:lineRule="auto"/>
      </w:pPr>
      <w:r>
        <w:rPr>
          <w:rFonts w:eastAsia="Georgia" w:cs="Georgia" w:ascii="Georgia" w:hAnsi="Georgia"/>
        </w:rPr>
        <w:t xml:space="preserve">L'évolution théorique du taux de conversion </w:t>
      </w:r>
      <m:oMath>
        <m:r>
          <m:rPr>
            <m:sty m:val="i"/>
          </m:rPr>
          <m:t>X</m:t>
        </m:r>
      </m:oMath>
      <w:r>
        <w:rPr/>
        <w:t xml:space="preserve"> en fonction du facteur de performance </w:t>
      </w:r>
      <m:oMath>
        <m:r>
          <m:rPr>
            <m:sty m:val="i"/>
          </m:rPr>
          <m:t>p</m:t>
        </m:r>
      </m:oMath>
      <w:r>
        <w:rPr>
          <w:rFonts w:eastAsia="Georgia" w:cs="Georgia" w:ascii="Georgia" w:hAnsi="Georgia"/>
        </w:rPr>
        <w:t xml:space="preserve"> est présentée sur la figure (4).</w:t>
      </w:r>
    </w:p>
    <w:p>
      <w:pPr>
        <w:spacing w:lineRule="auto"/>
        <w:jc w:val="center"/>
      </w:pPr>
      <w:r>
        <w:rPr/>
        <w:drawing>
          <wp:inline distB="0" distL="0" distR="0" distT="0">
            <wp:extent cx="5486400" cy="3561562"/>
            <wp:effectExtent b="0" l="0" r="0" t="0"/>
            <wp:docPr id="11" name="image-c61253c1a0c0d510d01205c8c47c8c2fa6765604.jpg"/>
            <a:graphic>
              <a:graphicData uri="http://schemas.openxmlformats.org/drawingml/2006/picture">
                <pic:pic>
                  <pic:nvPicPr>
                    <pic:cNvPr id="11" name="image-c61253c1a0c0d510d01205c8c47c8c2fa6765604.jpg" descr=""/>
                    <pic:cNvPicPr/>
                  </pic:nvPicPr>
                  <pic:blipFill>
                    <a:blip r:embed="rId15" cstate="print"/>
                    <a:srcRect b="0" l="0" r="0" t="0"/>
                    <a:stretch>
                      <a:fillRect/>
                    </a:stretch>
                  </pic:blipFill>
                  <pic:spPr>
                    <a:xfrm>
                      <a:off x="0" y="0"/>
                      <a:ext cx="5486400" cy="3561562"/>
                    </a:xfrm>
                    <a:prstGeom prst="rect"/>
                  </pic:spPr>
                </pic:pic>
              </a:graphicData>
            </a:graphic>
          </wp:inline>
        </w:drawing>
      </w:r>
    </w:p>
    <w:p>
      <w:pPr>
        <w:spacing w:lineRule="auto"/>
      </w:pPr>
      <w:r>
        <w:rPr>
          <w:rFonts w:eastAsia="Georgia" w:cs="Georgia" w:ascii="Georgia" w:hAnsi="Georgia"/>
        </w:rPr>
        <w:t xml:space="preserve">Figure 4 - Évolution du taux de conversion </w:t>
      </w:r>
      <m:oMath>
        <m:r>
          <m:rPr>
            <m:sty m:val="i"/>
          </m:rPr>
          <m:t>X</m:t>
        </m:r>
      </m:oMath>
      <w:r>
        <w:rPr>
          <w:rFonts w:eastAsia="Georgia" w:cs="Georgia" w:ascii="Georgia" w:hAnsi="Georgia"/>
        </w:rPr>
        <w:t xml:space="preserve"> dans un réacteur parfaitement agité (RPAC) et un réacteur piston (RP) en fonction du facteur de performance </w:t>
      </w:r>
      <m:oMath>
        <m:r>
          <m:rPr>
            <m:sty m:val="i"/>
          </m:rPr>
          <m:t>p</m:t>
        </m:r>
      </m:oMath>
      <w:r>
        <w:rPr/>
        <w:t xml:space="preserve">.</w:t>
      </w:r>
    </w:p>
    <w:p>
      <w:pPr>
        <w:numPr>
          <w:ilvl w:val="0"/>
          <w:numId w:val="22"/>
        </w:numPr>
        <w:spacing w:lineRule="auto"/>
      </w:pPr>
      <w:r>
        <w:rPr>
          <w:rFonts w:eastAsia="Georgia" w:cs="Georgia" w:ascii="Georgia" w:hAnsi="Georgia"/>
        </w:rPr>
        <w:t xml:space="preserve">Comparer les performances des deux réacteurs sur la base du graphique de la figure (4) et indiquer le réacteur a priori le plus adéquat pour dépolluer des effluents industriels.</w:t>
      </w:r>
    </w:p>
    <w:p>
      <w:pPr>
        <w:spacing w:after="220" w:lineRule="auto"/>
      </w:pPr>
      <w:r>
        <w:rPr>
          <w:rFonts w:eastAsia="Georgia" w:cs="Georgia" w:ascii="Georgia" w:hAnsi="Georgia"/>
        </w:rPr>
        <w:t xml:space="preserve">L'utilisation d'un réacteur piston n'est souvent pas le meilleur choix pratique pour la dépollution des effluents. Tout d'abord la formation de bulles entraîne une homogénéisation du mélange, ce qui éloigne du comportement piston idéal et se rapproche plus du réacteur parfaitement agité. De plus, l'écoulement étant laminaire et parallèle aux électrodes, le flux de matière vers l'électrode est plus faible, ce qui diminue le facteur de performance.</w:t>
      </w:r>
    </w:p>
    <w:p>
      <w:pPr>
        <w:spacing w:after="220" w:lineRule="auto"/>
      </w:pPr>
      <w:r>
        <w:rPr>
          <w:rFonts w:eastAsia="Georgia" w:cs="Georgia" w:ascii="Georgia" w:hAnsi="Georgia"/>
        </w:rPr>
        <w:t xml:space="preserve">Pour se rapprocher du comportement idéal, on préfère mettre </w:t>
      </w:r>
      <m:oMath>
        <m:r>
          <m:rPr>
            <m:sty m:val="i"/>
          </m:rPr>
          <m:t>n</m:t>
        </m:r>
      </m:oMath>
      <w:r>
        <w:rPr>
          <w:rFonts w:eastAsia="Georgia" w:cs="Georgia" w:ascii="Georgia" w:hAnsi="Georgia"/>
        </w:rPr>
        <w:t xml:space="preserve"> réacteurs en série qui peuvent être modélisés comme </w:t>
      </w:r>
      <m:oMath>
        <m:r>
          <m:rPr>
            <m:sty m:val="i"/>
          </m:rPr>
          <m:t>n</m:t>
        </m:r>
      </m:oMath>
      <w:r>
        <w:rPr>
          <w:rFonts w:eastAsia="Georgia" w:cs="Georgia" w:ascii="Georgia" w:hAnsi="Georgia"/>
        </w:rPr>
        <w:t xml:space="preserve"> réacteurs parfaitement agités en série. On notera </w:t>
      </w:r>
      <m:oMath>
        <m:sSub>
          <m:sSubPr/>
          <m:e>
            <m:r>
              <m:rPr>
                <m:sty m:val="i"/>
              </m:rPr>
              <m:t>c</m:t>
            </m:r>
          </m:e>
          <m:sub>
            <m:r>
              <m:rPr>
                <m:sty m:val="i"/>
              </m:rPr>
              <m:t>i</m:t>
            </m:r>
          </m:sub>
        </m:sSub>
      </m:oMath>
      <w:r>
        <w:rPr/>
        <w:t xml:space="preserve"> la concentration en sortie du </w:t>
      </w:r>
      <m:oMath>
        <m:r>
          <m:rPr>
            <m:sty m:val="i"/>
          </m:rPr>
          <m:t>i</m:t>
        </m:r>
      </m:oMath>
      <w:r>
        <w:rPr>
          <w:rFonts w:eastAsia="Georgia" w:cs="Georgia" w:ascii="Georgia" w:hAnsi="Georgia"/>
        </w:rPr>
        <w:t xml:space="preserve">-ème réacteur. Afin d'utiliser la même puissance électrique que pour un réacteur seul, les électrodes dans chacun des réacteurs sont de surface </w:t>
      </w:r>
      <m:oMath>
        <m:sSup>
          <m:sSupPr/>
          <m:e>
            <m:r>
              <m:rPr>
                <m:sty m:val="i"/>
              </m:rPr>
              <m:t>A</m:t>
            </m:r>
          </m:e>
          <m:sup>
            <m:r>
              <m:rPr>
                <m:sty m:val="i"/>
              </m:rPr>
              <m:t>′</m:t>
            </m:r>
          </m:sup>
        </m:sSup>
        <m:r>
          <m:rPr>
            <m:sty m:val="p"/>
          </m:rPr>
          <m:t>=</m:t>
        </m:r>
        <m:f>
          <m:fPr>
            <m:ctrlPr>
              <w:rPr>
                <w:rFonts w:ascii="Cambria Math" w:hAnsi="Cambria Math"/>
              </w:rPr>
            </m:ctrlPr>
          </m:fPr>
          <m:num>
            <m:r>
              <m:rPr>
                <m:sty m:val="i"/>
              </m:rPr>
              <m:t>A</m:t>
            </m:r>
          </m:num>
          <m:den>
            <m:r>
              <m:rPr>
                <m:sty m:val="i"/>
              </m:rPr>
              <m:t>n</m:t>
            </m:r>
          </m:den>
        </m:f>
      </m:oMath>
      <w:r>
        <w:rPr/>
        <w:t xml:space="preserve">.</w:t>
      </w:r>
      <w:r>
        <w:rPr/>
        <w:br w:type="textWrapping"/>
      </w:r>
      <w:r>
        <w:rPr/>
        <w:t xml:space="preserve">20. Exprimer </w:t>
      </w:r>
      <m:oMath>
        <m:sSub>
          <m:sSubPr/>
          <m:e>
            <m:r>
              <m:rPr>
                <m:sty m:val="i"/>
              </m:rPr>
              <m:t>c</m:t>
            </m:r>
          </m:e>
          <m:sub>
            <m:r>
              <m:rPr>
                <m:sty m:val="i"/>
              </m:rPr>
              <m:t>i</m:t>
            </m:r>
            <m:r>
              <m:rPr>
                <m:sty m:val="p"/>
              </m:rPr>
              <m:t>+</m:t>
            </m:r>
            <m:r>
              <m:rPr>
                <m:sty m:val="p"/>
              </m:rPr>
              <m:t>1</m:t>
            </m:r>
          </m:sub>
        </m:sSub>
      </m:oMath>
      <w:r>
        <w:rPr/>
        <w:t xml:space="preserve"> en fonction de </w:t>
      </w:r>
      <m:oMath>
        <m:sSub>
          <m:sSubPr/>
          <m:e>
            <m:r>
              <m:rPr>
                <m:sty m:val="i"/>
              </m:rPr>
              <m:t>c</m:t>
            </m:r>
          </m:e>
          <m:sub>
            <m:r>
              <m:rPr>
                <m:sty m:val="i"/>
              </m:rPr>
              <m:t>i</m:t>
            </m:r>
          </m:sub>
        </m:sSub>
      </m:oMath>
      <w:r>
        <w:rPr>
          <w:rFonts w:eastAsia="Georgia" w:cs="Georgia" w:ascii="Georgia" w:hAnsi="Georgia"/>
        </w:rPr>
        <w:t xml:space="preserve"> et en déduire que la concentration de sortie pour </w:t>
      </w:r>
      <m:oMath>
        <m:r>
          <m:rPr>
            <m:sty m:val="i"/>
          </m:rPr>
          <m:t>n</m:t>
        </m:r>
      </m:oMath>
      <w:r>
        <w:rPr>
          <w:rFonts w:eastAsia="Georgia" w:cs="Georgia" w:ascii="Georgia" w:hAnsi="Georgia"/>
        </w:rPr>
        <w:t xml:space="preserve"> réacteurs parfaitement agités en série est donnée par :</w:t>
      </w:r>
    </w:p>
    <w:p>
      <w:pPr>
        <w:spacing w:after="220" w:lineRule="auto"/>
      </w:pPr>
      <m:oMathPara>
        <m:oMath>
          <m:sSub>
            <m:sSubPr/>
            <m:e>
              <m:r>
                <m:rPr>
                  <m:sty m:val="i"/>
                </m:rPr>
                <m:t>c</m:t>
              </m:r>
            </m:e>
            <m:sub>
              <m:r>
                <m:rPr>
                  <m:sty m:val="i"/>
                </m:rPr>
                <m:t>s</m:t>
              </m:r>
            </m:sub>
          </m:sSub>
          <m:r>
            <m:rPr>
              <m:sty m:val="p"/>
            </m:rPr>
            <m:t>=</m:t>
          </m:r>
          <m:sSub>
            <m:sSubPr/>
            <m:e>
              <m:r>
                <m:rPr>
                  <m:sty m:val="i"/>
                </m:rPr>
                <m:t>c</m:t>
              </m:r>
            </m:e>
            <m:sub>
              <m:r>
                <m:rPr>
                  <m:sty m:val="i"/>
                </m:rPr>
                <m:t>e</m:t>
              </m:r>
            </m:sub>
          </m:sSub>
          <m:sSup>
            <m:sSupPr/>
            <m:e>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i"/>
                        </m:rPr>
                        <m:t>p</m:t>
                      </m:r>
                    </m:num>
                    <m:den>
                      <m:r>
                        <m:rPr>
                          <m:sty m:val="i"/>
                        </m:rPr>
                        <m:t>n</m:t>
                      </m:r>
                    </m:den>
                  </m:f>
                </m:e>
              </m:d>
            </m:e>
            <m:sup>
              <m:r>
                <m:rPr>
                  <m:sty m:val="p"/>
                </m:rPr>
                <m:t>−</m:t>
              </m:r>
              <m:r>
                <m:rPr>
                  <m:sty m:val="i"/>
                </m:rPr>
                <m:t>n</m:t>
              </m:r>
            </m:sup>
          </m:sSup>
        </m:oMath>
      </m:oMathPara>
    </w:p>
    <w:p>
      <w:pPr>
        <w:numPr>
          <w:ilvl w:val="0"/>
          <w:numId w:val="23"/>
        </w:numPr>
        <w:spacing w:lineRule="auto"/>
      </w:pPr>
      <w:r>
        <w:rPr>
          <w:rFonts w:eastAsia="Georgia" w:cs="Georgia" w:ascii="Georgia" w:hAnsi="Georgia"/>
        </w:rPr>
        <w:t xml:space="preserve">En déduire lorsque </w:t>
      </w:r>
      <m:oMath>
        <m:r>
          <m:rPr>
            <m:sty m:val="i"/>
          </m:rPr>
          <m:t>n</m:t>
        </m:r>
      </m:oMath>
      <w:r>
        <w:rPr>
          <w:rFonts w:eastAsia="Georgia" w:cs="Georgia" w:ascii="Georgia" w:hAnsi="Georgia"/>
        </w:rPr>
        <w:t xml:space="preserve"> est très grand que le comportement de </w:t>
      </w:r>
      <m:oMath>
        <m:r>
          <m:rPr>
            <m:sty m:val="i"/>
          </m:rPr>
          <m:t>n</m:t>
        </m:r>
      </m:oMath>
      <w:r>
        <w:rPr>
          <w:rFonts w:eastAsia="Georgia" w:cs="Georgia" w:ascii="Georgia" w:hAnsi="Georgia"/>
        </w:rPr>
        <w:t xml:space="preserve"> réacteur parfaitement agité est équivalent à celui d'un réacteur piston.</w:t>
      </w:r>
    </w:p>
    <w:p>
      <w:pPr>
        <w:spacing w:after="220" w:lineRule="auto"/>
      </w:pPr>
      <w:r>
        <w:rPr>
          <w:rFonts w:eastAsia="Georgia" w:cs="Georgia" w:ascii="Georgia" w:hAnsi="Georgia"/>
        </w:rPr>
        <w:t xml:space="preserve">La dépollution d'une eau contenant du phénol a été étudiée dans un réacteur composé de 10 cellules d'électrolyse en série. Pour s'assurer que chaque cellule se comporte comme un réacteur parfaitement agité, les entrées et sorties sont alternativement en haut et en bas des cellules pour générer la convection, comme représenté sur la figure (5). Le réacteur a un volume de </w:t>
      </w:r>
      <m:oMath>
        <m:r>
          <m:rPr>
            <m:sty m:val="p"/>
          </m:rPr>
          <m:t>8</m:t>
        </m:r>
        <m:r>
          <m:rPr>
            <m:sty m:val="p"/>
          </m:rPr>
          <m:t>,</m:t>
        </m:r>
        <m:r>
          <m:rPr>
            <m:sty m:val="p"/>
          </m:rPr>
          <m:t>4</m:t>
        </m:r>
        <m:r>
          <m:rPr>
            <m:nor/>
          </m:rPr>
          <m:t xml:space="preserve"> </m:t>
        </m:r>
        <m:r>
          <m:rPr>
            <m:sty m:val="p"/>
          </m:rPr>
          <m:t>L</m:t>
        </m:r>
      </m:oMath>
      <w:r>
        <w:rPr/>
        <w:t xml:space="preserve">.</w:t>
      </w:r>
    </w:p>
    <w:p>
      <w:pPr>
        <w:spacing w:lineRule="auto"/>
        <w:jc w:val="center"/>
      </w:pPr>
      <w:r>
        <w:rPr/>
        <w:drawing>
          <wp:inline distB="0" distL="0" distR="0" distT="0">
            <wp:extent cx="5486400" cy="1595418"/>
            <wp:effectExtent b="0" l="0" r="0" t="0"/>
            <wp:docPr id="12" name="image-e615e2f862e3a7160949764d8d6bfb2f0db2f25e.jpg"/>
            <a:graphic>
              <a:graphicData uri="http://schemas.openxmlformats.org/drawingml/2006/picture">
                <pic:pic>
                  <pic:nvPicPr>
                    <pic:cNvPr id="12" name="image-e615e2f862e3a7160949764d8d6bfb2f0db2f25e.jpg" descr=""/>
                    <pic:cNvPicPr/>
                  </pic:nvPicPr>
                  <pic:blipFill>
                    <a:blip r:embed="rId16" cstate="print"/>
                    <a:srcRect b="0" l="0" r="0" t="0"/>
                    <a:stretch>
                      <a:fillRect/>
                    </a:stretch>
                  </pic:blipFill>
                  <pic:spPr>
                    <a:xfrm>
                      <a:off x="0" y="0"/>
                      <a:ext cx="5486400" cy="1595418"/>
                    </a:xfrm>
                    <a:prstGeom prst="rect"/>
                  </pic:spPr>
                </pic:pic>
              </a:graphicData>
            </a:graphic>
          </wp:inline>
        </w:drawing>
      </w:r>
    </w:p>
    <w:p>
      <w:pPr>
        <w:spacing w:lineRule="auto"/>
      </w:pPr>
      <w:r>
        <w:rPr>
          <w:rFonts w:eastAsia="Georgia" w:cs="Georgia" w:ascii="Georgia" w:hAnsi="Georgia"/>
        </w:rPr>
        <w:t xml:space="preserve">Figure 5 - Schéma du réacteur expérimental utilisé.</w:t>
      </w:r>
    </w:p>
    <w:p>
      <w:pPr>
        <w:spacing w:after="220" w:lineRule="auto"/>
      </w:pPr>
      <w:r>
        <w:rPr>
          <w:rFonts w:eastAsia="Georgia" w:cs="Georgia" w:ascii="Georgia" w:hAnsi="Georgia"/>
        </w:rPr>
        <w:t xml:space="preserve">Tout d'abord, une première expérience est menée pour vérifier si le dégagement gazeux produit lors de la réaction d'oxydation ne perturbe pas le temps de passage dans le réacteur et si les réacteurs sont bien des réacteurs parfaitement agités. Pour cela, un traceur est injecté dans le réacteur et on mesure la distribution </w:t>
      </w:r>
      <m:oMath>
        <m:r>
          <m:rPr>
            <m:sty m:val="i"/>
          </m:rPr>
          <m:t>E</m:t>
        </m:r>
      </m:oMath>
      <w:r>
        <w:rPr/>
        <w:t xml:space="preserve"> du temps </w:t>
      </w:r>
      <m:oMath>
        <m:r>
          <m:rPr>
            <m:sty m:val="i"/>
          </m:rPr>
          <m:t>t</m:t>
        </m:r>
      </m:oMath>
      <w:r>
        <w:rPr>
          <w:rFonts w:eastAsia="Georgia" w:cs="Georgia" w:ascii="Georgia" w:hAnsi="Georgia"/>
        </w:rPr>
        <w:t xml:space="preserve"> que met ce traceur pour traverser le réacteur, aussi appelé temps de séjour, avec électrolyse et sans électrolyse. Les résultats obtenus pour un débit de </w:t>
      </w:r>
      <m:oMath>
        <m:r>
          <m:rPr>
            <m:sty m:val="p"/>
          </m:rPr>
          <m:t>40</m:t>
        </m:r>
        <m:r>
          <m:rPr>
            <m:nor/>
          </m:rPr>
          <m:t xml:space="preserve"> </m:t>
        </m:r>
        <m:r>
          <m:rPr>
            <m:sty m:val="p"/>
          </m:rPr>
          <m:t>L</m:t>
        </m:r>
        <m:r>
          <m:rPr>
            <m:sty m:val="p"/>
          </m:rPr>
          <m:t>⋅</m:t>
        </m:r>
        <m:sSup>
          <m:sSupPr/>
          <m:e>
            <m:r>
              <m:rPr>
                <m:nor/>
              </m:rPr>
              <m:t xml:space="preserve"> </m:t>
            </m:r>
            <m:r>
              <m:rPr>
                <m:sty m:val="p"/>
              </m:rPr>
              <m:t>h</m:t>
            </m:r>
          </m:e>
          <m:sup>
            <m:r>
              <m:rPr>
                <m:sty m:val="p"/>
              </m:rPr>
              <m:t>−</m:t>
            </m:r>
            <m:r>
              <m:rPr>
                <m:sty m:val="p"/>
              </m:rPr>
              <m:t>1</m:t>
            </m:r>
          </m:sup>
        </m:sSup>
      </m:oMath>
      <w:r>
        <w:rPr>
          <w:rFonts w:eastAsia="Georgia" w:cs="Georgia" w:ascii="Georgia" w:hAnsi="Georgia"/>
        </w:rPr>
        <w:t xml:space="preserve"> sont donnés sur la figure (6).</w:t>
      </w:r>
    </w:p>
    <w:p>
      <w:pPr>
        <w:spacing w:lineRule="auto"/>
        <w:jc w:val="center"/>
      </w:pPr>
      <w:r>
        <w:rPr/>
        <w:drawing>
          <wp:inline distB="0" distL="0" distR="0" distT="0">
            <wp:extent cx="5486400" cy="4667717"/>
            <wp:effectExtent b="0" l="0" r="0" t="0"/>
            <wp:docPr id="13" name="image-dac2fa6de2e7f2b87844f3063b55295ca70161f8.jpg"/>
            <a:graphic>
              <a:graphicData uri="http://schemas.openxmlformats.org/drawingml/2006/picture">
                <pic:pic>
                  <pic:nvPicPr>
                    <pic:cNvPr id="13" name="image-dac2fa6de2e7f2b87844f3063b55295ca70161f8.jpg" descr=""/>
                    <pic:cNvPicPr/>
                  </pic:nvPicPr>
                  <pic:blipFill>
                    <a:blip r:embed="rId17" cstate="print"/>
                    <a:srcRect b="0" l="0" r="0" t="0"/>
                    <a:stretch>
                      <a:fillRect/>
                    </a:stretch>
                  </pic:blipFill>
                  <pic:spPr>
                    <a:xfrm>
                      <a:off x="0" y="0"/>
                      <a:ext cx="5486400" cy="4667717"/>
                    </a:xfrm>
                    <a:prstGeom prst="rect"/>
                  </pic:spPr>
                </pic:pic>
              </a:graphicData>
            </a:graphic>
          </wp:inline>
        </w:drawing>
      </w:r>
    </w:p>
    <w:p>
      <w:pPr>
        <w:spacing w:lineRule="auto"/>
      </w:pPr>
      <w:r>
        <w:rPr>
          <w:rFonts w:eastAsia="Georgia" w:cs="Georgia" w:ascii="Georgia" w:hAnsi="Georgia"/>
        </w:rPr>
        <w:t xml:space="preserve">Figure 6 - Distribution du temps de séjour du traceur dans le réacteur en fonction du temps avec électrolyse (a) et sans électrolyse (b).</w:t>
      </w:r>
    </w:p>
    <w:p>
      <w:pPr>
        <w:numPr>
          <w:ilvl w:val="0"/>
          <w:numId w:val="24"/>
        </w:numPr>
        <w:spacing w:lineRule="auto"/>
      </w:pPr>
      <w:r>
        <w:rPr>
          <w:rFonts w:eastAsia="Georgia" w:cs="Georgia" w:ascii="Georgia" w:hAnsi="Georgia"/>
        </w:rPr>
        <w:t xml:space="preserve">Calculer le temps de passage théorique pour le réacteur puis montrer que les résultats obtenus lors de la manipulation sans électrolyse permettent de montrer que les réacteurs se comportent bien comme des réacteurs parfaitement agités.</w:t>
      </w:r>
    </w:p>
    <w:p>
      <w:pPr>
        <w:numPr>
          <w:ilvl w:val="0"/>
          <w:numId w:val="24"/>
        </w:numPr>
        <w:spacing w:lineRule="auto"/>
      </w:pPr>
      <w:r>
        <w:rPr>
          <w:rFonts w:eastAsia="Georgia" w:cs="Georgia" w:ascii="Georgia" w:hAnsi="Georgia"/>
        </w:rPr>
        <w:t xml:space="preserve">Comparer les résultats obtenus avec et sans électrolyse pour vérifier si le dégagement gazeux produit lors de la réaction d'oxydation ne perturbe pas le fonctionnement du réacteur. Proposer une explication à la différence observée entre les deux temps moyens de sortie.</w:t>
      </w:r>
      <w:r>
        <w:rPr/>
        <w:br w:type="textWrapping"/>
      </w:r>
      <w:r>
        <w:rPr>
          <w:rFonts w:eastAsia="Georgia" w:cs="Georgia" w:ascii="Georgia" w:hAnsi="Georgia"/>
        </w:rPr>
        <w:t xml:space="preserve">Une première expérience de dépollution est menée avec une concentration de départ en phénol de </w:t>
      </w:r>
      <m:oMath>
        <m:r>
          <m:rPr>
            <m:sty m:val="p"/>
          </m:rPr>
          <m:t>50</m:t>
        </m:r>
        <m:r>
          <m:rPr>
            <m:sty m:val="p"/>
          </m:rPr>
          <m:t>mg</m:t>
        </m:r>
        <m:r>
          <m:rPr>
            <m:sty m:val="p"/>
          </m:rPr>
          <m:t>⋅</m:t>
        </m:r>
        <m:sSup>
          <m:sSupPr/>
          <m:e>
            <m:r>
              <m:rPr>
                <m:sty m:val="p"/>
              </m:rPr>
              <m:t>L</m:t>
            </m:r>
          </m:e>
          <m:sup>
            <m:r>
              <m:rPr>
                <m:sty m:val="p"/>
              </m:rPr>
              <m:t>−</m:t>
            </m:r>
            <m:r>
              <m:rPr>
                <m:sty m:val="p"/>
              </m:rPr>
              <m:t>1</m:t>
            </m:r>
          </m:sup>
        </m:sSup>
      </m:oMath>
      <w:r>
        <w:rPr/>
        <w:t xml:space="preserve">, un courant surfacique de </w:t>
      </w:r>
      <m:oMath>
        <m:r>
          <m:rPr>
            <m:sty m:val="p"/>
          </m:rPr>
          <m:t>10</m:t>
        </m:r>
        <m:r>
          <m:rPr>
            <m:nor/>
          </m:rPr>
          <m:t xml:space="preserve"> </m:t>
        </m:r>
        <m:r>
          <m:rPr>
            <m:sty m:val="p"/>
          </m:rPr>
          <m:t>mA</m:t>
        </m:r>
        <m:r>
          <m:rPr>
            <m:sty m:val="p"/>
          </m:rPr>
          <m:t>⋅</m:t>
        </m:r>
        <m:sSup>
          <m:sSupPr/>
          <m:e>
            <m:r>
              <m:rPr>
                <m:nor/>
              </m:rPr>
              <m:t xml:space="preserve"> </m:t>
            </m:r>
            <m:r>
              <m:rPr>
                <m:sty m:val="p"/>
              </m:rPr>
              <m:t>cm</m:t>
            </m:r>
          </m:e>
          <m:sup>
            <m:r>
              <m:rPr>
                <m:sty m:val="p"/>
              </m:rPr>
              <m:t>−</m:t>
            </m:r>
            <m:r>
              <m:rPr>
                <m:sty m:val="p"/>
              </m:rPr>
              <m:t>2</m:t>
            </m:r>
          </m:sup>
        </m:sSup>
      </m:oMath>
      <w:r>
        <w:rPr>
          <w:rFonts w:eastAsia="Georgia" w:cs="Georgia" w:ascii="Georgia" w:hAnsi="Georgia"/>
        </w:rPr>
        <w:t xml:space="preserve"> et un temps de passage dans le réacteur de 100 min . L'évolution de la concentration en phénol, exprimée en demande chimique en oxygène </w:t>
      </w:r>
      <m:oMath>
        <m:r>
          <m:rPr>
            <m:sty m:val="i"/>
          </m:rPr>
          <m:t>D</m:t>
        </m:r>
        <m:r>
          <m:rPr>
            <m:sty m:val="i"/>
          </m:rPr>
          <m:t>C</m:t>
        </m:r>
        <m:r>
          <m:rPr>
            <m:sty m:val="i"/>
          </m:rPr>
          <m:t>O</m:t>
        </m:r>
      </m:oMath>
      <w:r>
        <w:rPr>
          <w:rFonts w:eastAsia="Georgia" w:cs="Georgia" w:ascii="Georgia" w:hAnsi="Georgia"/>
        </w:rPr>
        <w:t xml:space="preserve">, en fonction de la cellule est donné sur la figure (7).</w:t>
      </w:r>
    </w:p>
    <w:p>
      <w:pPr>
        <w:spacing w:lineRule="auto"/>
        <w:jc w:val="center"/>
      </w:pPr>
      <w:r>
        <w:rPr/>
        <w:drawing>
          <wp:inline distB="0" distL="0" distR="0" distT="0">
            <wp:extent cx="5486400" cy="2965208"/>
            <wp:effectExtent b="0" l="0" r="0" t="0"/>
            <wp:docPr id="14" name="image-831c9d869666f5c85a2fce04fdd978b705a0d45e.jpg"/>
            <a:graphic>
              <a:graphicData uri="http://schemas.openxmlformats.org/drawingml/2006/picture">
                <pic:pic>
                  <pic:nvPicPr>
                    <pic:cNvPr id="14" name="image-831c9d869666f5c85a2fce04fdd978b705a0d45e.jpg" descr=""/>
                    <pic:cNvPicPr/>
                  </pic:nvPicPr>
                  <pic:blipFill>
                    <a:blip r:embed="rId18" cstate="print"/>
                    <a:srcRect b="0" l="0" r="0" t="0"/>
                    <a:stretch>
                      <a:fillRect/>
                    </a:stretch>
                  </pic:blipFill>
                  <pic:spPr>
                    <a:xfrm>
                      <a:off x="0" y="0"/>
                      <a:ext cx="5486400" cy="2965208"/>
                    </a:xfrm>
                    <a:prstGeom prst="rect"/>
                  </pic:spPr>
                </pic:pic>
              </a:graphicData>
            </a:graphic>
          </wp:inline>
        </w:drawing>
      </w:r>
    </w:p>
    <w:p>
      <w:pPr>
        <w:spacing w:lineRule="auto"/>
      </w:pPr>
      <w:r>
        <w:rPr>
          <w:rFonts w:eastAsia="Georgia" w:cs="Georgia" w:ascii="Georgia" w:hAnsi="Georgia"/>
        </w:rPr>
        <w:t xml:space="preserve">Figure 7 - Evolution de la demande chimique en oxygène en fonction des différentes cellules.</w:t>
      </w:r>
    </w:p>
    <w:p>
      <w:pPr>
        <w:numPr>
          <w:ilvl w:val="0"/>
          <w:numId w:val="25"/>
        </w:numPr>
        <w:spacing w:lineRule="auto"/>
      </w:pPr>
      <w:r>
        <w:rPr>
          <w:rFonts w:eastAsia="Georgia" w:cs="Georgia" w:ascii="Georgia" w:hAnsi="Georgia"/>
        </w:rPr>
        <w:t xml:space="preserve">Commenter l'évolution obtenue pour la concentration en phénol dans les différentes cellules et de la performance de ce type de réacteur composé de cellules en série en vue de son objectif de dépollution d'effluents industriels.</w:t>
      </w:r>
    </w:p>
    <w:p>
      <w:pPr>
        <w:spacing w:after="220" w:lineRule="auto"/>
      </w:pPr>
      <w:r>
        <w:rPr>
          <w:rFonts w:eastAsia="Georgia" w:cs="Georgia" w:ascii="Georgia" w:hAnsi="Georgia"/>
        </w:rPr>
        <w:t xml:space="preserve">Plusieurs débits et plusieurs concentrations de départ en phénol ont été ensuite testés à la fois pour le RPAC seul avec une seule cellule d'électrolyse, noté mono-cellule dans la suite et pour le réacteur composé de dix cellules d'électrolyse en série étudié précédemment, noté multi-cellule dans la suite. Les résultats obtenus sont représentés respectivement sur les figures (8) et (9). On rappelle que les expressions de la demande chimique en oxygène </w:t>
      </w:r>
      <m:oMath>
        <m:r>
          <m:rPr>
            <m:sty m:val="i"/>
          </m:rPr>
          <m:t>D</m:t>
        </m:r>
        <m:r>
          <m:rPr>
            <m:sty m:val="i"/>
          </m:rPr>
          <m:t>C</m:t>
        </m:r>
        <m:r>
          <m:rPr>
            <m:sty m:val="i"/>
          </m:rPr>
          <m:t>O</m:t>
        </m:r>
      </m:oMath>
      <w:r>
        <w:rPr/>
        <w:t xml:space="preserve"> et du rendement faradique </w:t>
      </w:r>
      <m:oMath>
        <m:sSub>
          <m:sSubPr/>
          <m:e>
            <m:r>
              <m:rPr>
                <m:sty m:val="i"/>
              </m:rPr>
              <m:t>r</m:t>
            </m:r>
          </m:e>
          <m:sub>
            <m:r>
              <m:rPr>
                <m:sty m:val="i"/>
              </m:rPr>
              <m:t>F</m:t>
            </m:r>
          </m:sub>
        </m:sSub>
      </m:oMath>
      <w:r>
        <w:rPr>
          <w:rFonts w:eastAsia="Georgia" w:cs="Georgia" w:ascii="Georgia" w:hAnsi="Georgia"/>
        </w:rPr>
        <w:t xml:space="preserve"> ont été étudiés dans les questions (2) à (5).</w:t>
      </w:r>
    </w:p>
    <w:p>
      <w:pPr>
        <w:spacing w:lineRule="auto"/>
        <w:jc w:val="center"/>
      </w:pPr>
      <w:r>
        <w:rPr/>
        <w:drawing>
          <wp:inline distB="0" distL="0" distR="0" distT="0">
            <wp:extent cx="5486400" cy="1583433"/>
            <wp:effectExtent b="0" l="0" r="0" t="0"/>
            <wp:docPr id="15" name="image-f8bc5dfeedb54f1724ef4db94357ef224fec15f2.jpg"/>
            <a:graphic>
              <a:graphicData uri="http://schemas.openxmlformats.org/drawingml/2006/picture">
                <pic:pic>
                  <pic:nvPicPr>
                    <pic:cNvPr id="15" name="image-f8bc5dfeedb54f1724ef4db94357ef224fec15f2.jpg" descr=""/>
                    <pic:cNvPicPr/>
                  </pic:nvPicPr>
                  <pic:blipFill>
                    <a:blip r:embed="rId19" cstate="print"/>
                    <a:srcRect b="0" l="0" r="0" t="0"/>
                    <a:stretch>
                      <a:fillRect/>
                    </a:stretch>
                  </pic:blipFill>
                  <pic:spPr>
                    <a:xfrm>
                      <a:off x="0" y="0"/>
                      <a:ext cx="5486400" cy="1583433"/>
                    </a:xfrm>
                    <a:prstGeom prst="rect"/>
                  </pic:spPr>
                </pic:pic>
              </a:graphicData>
            </a:graphic>
          </wp:inline>
        </w:drawing>
      </w:r>
    </w:p>
    <w:p>
      <w:pPr>
        <w:spacing w:lineRule="auto"/>
      </w:pPr>
      <w:r>
        <w:rPr>
          <w:rFonts w:eastAsia="Georgia" w:cs="Georgia" w:ascii="Georgia" w:hAnsi="Georgia"/>
        </w:rPr>
        <w:t xml:space="preserve">Figure 8 - Évolution de la demande chimique en oxygène en sortie du réacteur et du rendement faradique en fonction du temps de passage pour une concentration initiale en phénol de </w:t>
      </w:r>
      <m:oMath>
        <m:r>
          <m:rPr>
            <m:sty m:val="p"/>
          </m:rPr>
          <m:t>50</m:t>
        </m:r>
        <m:r>
          <m:rPr>
            <m:sty m:val="p"/>
          </m:rPr>
          <m:t>mg</m:t>
        </m:r>
        <m:r>
          <m:rPr>
            <m:sty m:val="p"/>
          </m:rPr>
          <m:t>⋅</m:t>
        </m:r>
        <m:sSup>
          <m:sSupPr/>
          <m:e>
            <m:r>
              <m:rPr>
                <m:sty m:val="p"/>
              </m:rPr>
              <m:t>L</m:t>
            </m:r>
          </m:e>
          <m:sup>
            <m:r>
              <m:rPr>
                <m:sty m:val="p"/>
              </m:rPr>
              <m:t>−</m:t>
            </m:r>
            <m:r>
              <m:rPr>
                <m:sty m:val="p"/>
              </m:rPr>
              <m:t>1</m:t>
            </m:r>
          </m:sup>
        </m:sSup>
      </m:oMath>
      <w:r>
        <w:rPr/>
        <w:t xml:space="preserve"> pour un RPAC seul ( </w:t>
      </w:r>
      <m:oMath>
        <m:r>
          <m:rPr>
            <m:sty m:val="i"/>
          </m:rPr>
          <m:t>◻</m:t>
        </m:r>
      </m:oMath>
      <w:r>
        <w:rPr>
          <w:rFonts w:eastAsia="Georgia" w:cs="Georgia" w:ascii="Georgia" w:hAnsi="Georgia"/>
        </w:rPr>
        <w:t xml:space="preserve"> ) et pour le réacteur constitué de RPAC en série (■).</w:t>
      </w:r>
    </w:p>
    <w:p>
      <w:pPr>
        <w:spacing w:lineRule="auto"/>
        <w:jc w:val="center"/>
      </w:pPr>
      <w:r>
        <w:rPr/>
        <w:drawing>
          <wp:inline distB="0" distL="0" distR="0" distT="0">
            <wp:extent cx="5486400" cy="1593130"/>
            <wp:effectExtent b="0" l="0" r="0" t="0"/>
            <wp:docPr id="16" name="image-9bbd8696e0d7588cd13905adc41b62954537228d.jpg"/>
            <a:graphic>
              <a:graphicData uri="http://schemas.openxmlformats.org/drawingml/2006/picture">
                <pic:pic>
                  <pic:nvPicPr>
                    <pic:cNvPr id="16" name="image-9bbd8696e0d7588cd13905adc41b62954537228d.jpg" descr=""/>
                    <pic:cNvPicPr/>
                  </pic:nvPicPr>
                  <pic:blipFill>
                    <a:blip r:embed="rId20" cstate="print"/>
                    <a:srcRect b="0" l="0" r="0" t="0"/>
                    <a:stretch>
                      <a:fillRect/>
                    </a:stretch>
                  </pic:blipFill>
                  <pic:spPr>
                    <a:xfrm>
                      <a:off x="0" y="0"/>
                      <a:ext cx="5486400" cy="1593130"/>
                    </a:xfrm>
                    <a:prstGeom prst="rect"/>
                  </pic:spPr>
                </pic:pic>
              </a:graphicData>
            </a:graphic>
          </wp:inline>
        </w:drawing>
      </w:r>
    </w:p>
    <w:p>
      <w:pPr>
        <w:spacing w:lineRule="auto"/>
      </w:pPr>
      <w:r>
        <w:rPr>
          <w:rFonts w:eastAsia="Georgia" w:cs="Georgia" w:ascii="Georgia" w:hAnsi="Georgia"/>
        </w:rPr>
        <w:t xml:space="preserve">Figure 9 - Évolution de la demande chimique en oxygène en sortie et du rendement faradique en fonction de la demande chimique en oxygène en entrée pour un temps de passage de 100 min.</w:t>
      </w:r>
    </w:p>
    <w:p>
      <w:pPr>
        <w:numPr>
          <w:ilvl w:val="0"/>
          <w:numId w:val="26"/>
        </w:numPr>
        <w:spacing w:lineRule="auto"/>
      </w:pPr>
      <w:r>
        <w:rPr>
          <w:rFonts w:eastAsia="Georgia" w:cs="Georgia" w:ascii="Georgia" w:hAnsi="Georgia"/>
        </w:rPr>
        <w:t xml:space="preserve">Commenter l'évolution de la concentration en phénol en fonction du temps de passage dans le réacteur. Justifier le choix d'utiliser un temps de passage de 100 min lors de l'étude de l'influence de la concentration de départ en phénol.</w:t>
      </w:r>
    </w:p>
    <w:p>
      <w:pPr>
        <w:numPr>
          <w:ilvl w:val="0"/>
          <w:numId w:val="26"/>
        </w:numPr>
        <w:spacing w:lineRule="auto"/>
      </w:pPr>
      <w:r>
        <w:rPr>
          <w:rFonts w:eastAsia="Georgia" w:cs="Georgia" w:ascii="Georgia" w:hAnsi="Georgia"/>
        </w:rPr>
        <w:t xml:space="preserve">Justifier que les résultats expérimentaux obtenus lors de la variation de la concentration en phénol de la solution à dépolluer présentés sur la figure (9) sont bien cohérents avec l'étude théorique précédente menée précédemment dans les questions (15) à (21). Aucune application numérique n'est attendue dans cette question.</w:t>
      </w:r>
    </w:p>
    <w:p>
      <w:pPr>
        <w:numPr>
          <w:ilvl w:val="0"/>
          <w:numId w:val="26"/>
        </w:numPr>
        <w:spacing w:lineRule="auto"/>
      </w:pPr>
      <w:r>
        <w:rPr>
          <w:rFonts w:eastAsia="Georgia" w:cs="Georgia" w:ascii="Georgia" w:hAnsi="Georgia"/>
        </w:rPr>
        <w:t xml:space="preserve">Indiquer finalement, à partir des résultats des deux études expérimentales présentées sur les figures (8) et (9), quel type de réacteur est le plus efficace afin de dépolluer des effluents industriels contenant du phénol.</w:t>
      </w:r>
    </w:p>
    <w:p>
      <w:pPr>
        <w:spacing w:line="271" w:before="330" w:lineRule="auto"/>
      </w:pPr>
      <w:r>
        <w:rPr>
          <w:rFonts w:eastAsia="Georgia" w:cs="Georgia" w:ascii="Georgia" w:hAnsi="Georgia"/>
          <w:b/>
          <w:sz w:val="42"/>
        </w:rPr>
        <w:t xml:space="preserve">2 Utilisation de réacteurs électrochimiques en synthèse organique.</w:t>
      </w:r>
    </w:p>
    <w:p>
      <w:pPr>
        <w:spacing w:after="220" w:lineRule="auto"/>
      </w:pPr>
      <w:r>
        <w:rPr>
          <w:rFonts w:eastAsia="Georgia" w:cs="Georgia" w:ascii="Georgia" w:hAnsi="Georgia"/>
        </w:rPr>
        <w:t xml:space="preserve">Les réacteurs électrochimiques sont couramment utilisés pour synthétiser des molécules organiques par oxydation ou par réduction de composés naturels. Cependant, ils sont plus difficiles à utiliser pour créer des liaisons carbone-carbone, car ce type de réaction demande de mettre en jeu deux molécules. Il faut donc utiliser un dispositif capable d'oxyder ou de réduire une molécule sans oxyder ou réduire l'autre réactif.</w:t>
      </w:r>
    </w:p>
    <w:p>
      <w:pPr>
        <w:spacing w:after="220" w:lineRule="auto"/>
      </w:pPr>
      <w:r>
        <w:rPr>
          <w:rFonts w:eastAsia="Georgia" w:cs="Georgia" w:ascii="Georgia" w:hAnsi="Georgia"/>
        </w:rPr>
        <w:t xml:space="preserve">On s'intéresse à la réaction entre le substrat </w:t>
      </w:r>
      <m:oMath>
        <m:r>
          <m:rPr>
            <m:sty m:val="b"/>
          </m:rPr>
          <m:t>1</m:t>
        </m:r>
        <m:d>
          <m:dPr>
            <m:begChr m:val="("/>
            <m:endChr m:val=""/>
            <m:ctrlPr>
              <w:rPr>
                <w:rFonts w:ascii="Cambria Math" w:hAnsi="Cambria Math"/>
              </w:rPr>
            </m:ctrlPr>
          </m:dPr>
          <m:e>
            <m:sSub>
              <m:sSubPr/>
              <m:e>
                <m:r>
                  <m:rPr>
                    <m:sty m:val="i"/>
                  </m:rPr>
                  <m:t>E</m:t>
                </m:r>
              </m:e>
              <m:sub>
                <m:r>
                  <m:rPr>
                    <m:nor/>
                  </m:rPr>
                  <m:t>red </m:t>
                </m:r>
              </m:sub>
            </m:sSub>
            <m:r>
              <m:rPr>
                <m:sty m:val="p"/>
              </m:rPr>
              <m:t>=</m:t>
            </m:r>
            <m:r>
              <m:rPr>
                <m:sty m:val="p"/>
              </m:rPr>
              <m:t>−</m:t>
            </m:r>
            <m:r>
              <m:rPr>
                <m:sty m:val="p"/>
              </m:rPr>
              <m:t>2</m:t>
            </m:r>
            <m:r>
              <m:rPr>
                <m:sty m:val="p"/>
              </m:rPr>
              <m:t>,</m:t>
            </m:r>
            <m:r>
              <m:rPr>
                <m:sty m:val="p"/>
              </m:rPr>
              <m:t>20</m:t>
            </m:r>
            <m:r>
              <m:rPr>
                <m:nor/>
              </m:rPr>
              <m:t xml:space="preserve"> </m:t>
            </m:r>
            <m:r>
              <m:rPr>
                <m:sty m:val="p"/>
              </m:rPr>
              <m:t>V</m:t>
            </m:r>
            <m:r>
              <m:rPr>
                <m:sty m:val="p"/>
              </m:rPr>
              <m:t>/</m:t>
            </m:r>
          </m:e>
        </m:d>
      </m:oMath>
      <w:r>
        <w:rPr/>
        <w:t xml:space="preserve"> ref </w:t>
      </w:r>
      <m:oMath>
        <m:r>
          <m:rPr>
            <m:sty m:val="p"/>
          </m:rPr>
          <m:t>)</m:t>
        </m:r>
      </m:oMath>
      <w:r>
        <w:rPr>
          <w:rFonts w:eastAsia="Georgia" w:cs="Georgia" w:ascii="Georgia" w:hAnsi="Georgia"/>
        </w:rPr>
        <w:t xml:space="preserve"> avec le benzaldéhyde </w:t>
      </w:r>
      <m:oMath>
        <m:r>
          <m:rPr>
            <m:sty m:val="b"/>
          </m:rPr>
          <m:t>2</m:t>
        </m:r>
        <m:d>
          <m:dPr>
            <m:begChr m:val="("/>
            <m:endChr m:val=""/>
            <m:ctrlPr>
              <w:rPr>
                <w:rFonts w:ascii="Cambria Math" w:hAnsi="Cambria Math"/>
              </w:rPr>
            </m:ctrlPr>
          </m:dPr>
          <m:e>
            <m:sSub>
              <m:sSubPr/>
              <m:e>
                <m:r>
                  <m:rPr>
                    <m:sty m:val="i"/>
                  </m:rPr>
                  <m:t>E</m:t>
                </m:r>
              </m:e>
              <m:sub>
                <m:r>
                  <m:rPr>
                    <m:nor/>
                  </m:rPr>
                  <m:t>red </m:t>
                </m:r>
              </m:sub>
            </m:sSub>
            <m:r>
              <m:rPr>
                <m:sty m:val="p"/>
              </m:rPr>
              <m:t>=</m:t>
            </m:r>
            <m:r>
              <m:rPr>
                <m:sty m:val="p"/>
              </m:rPr>
              <m:t>−</m:t>
            </m:r>
            <m:r>
              <m:rPr>
                <m:sty m:val="p"/>
              </m:rPr>
              <m:t>1</m:t>
            </m:r>
            <m:r>
              <m:rPr>
                <m:sty m:val="p"/>
              </m:rPr>
              <m:t>,</m:t>
            </m:r>
            <m:r>
              <m:rPr>
                <m:sty m:val="p"/>
              </m:rPr>
              <m:t>52</m:t>
            </m:r>
          </m:e>
        </m:d>
        <m:r>
          <m:rPr>
            <m:sty m:val="p"/>
          </m:rPr>
          <m:t>V</m:t>
        </m:r>
        <m:r>
          <m:rPr>
            <m:sty m:val="p"/>
          </m:rPr>
          <m:t>/</m:t>
        </m:r>
      </m:oMath>
      <w:r>
        <w:rPr>
          <w:rFonts w:eastAsia="Georgia" w:cs="Georgia" w:ascii="Georgia" w:hAnsi="Georgia"/>
        </w:rPr>
        <w:t xml:space="preserve"> ref ), dont l'équation est donnée sur la figure ( </w:t>
      </w:r>
      <m:oMath>
        <m:r>
          <m:rPr>
            <m:sty m:val="b"/>
          </m:rPr>
          <m:t>1</m:t>
        </m:r>
        <m:r>
          <m:rPr>
            <m:sty m:val="b"/>
          </m:rPr>
          <m:t>0</m:t>
        </m:r>
      </m:oMath>
      <w:r>
        <w:rPr>
          <w:rFonts w:eastAsia="Georgia" w:cs="Georgia" w:ascii="Georgia" w:hAnsi="Georgia"/>
        </w:rPr>
        <w:t xml:space="preserve"> ), où </w:t>
      </w:r>
      <m:oMath>
        <m:sSub>
          <m:sSubPr/>
          <m:e>
            <m:r>
              <m:rPr>
                <m:sty m:val="i"/>
              </m:rPr>
              <m:t>E</m:t>
            </m:r>
          </m:e>
          <m:sub>
            <m:r>
              <m:rPr>
                <m:nor/>
              </m:rPr>
              <m:t>red </m:t>
            </m:r>
          </m:sub>
        </m:sSub>
      </m:oMath>
      <w:r>
        <w:rPr>
          <w:rFonts w:eastAsia="Georgia" w:cs="Georgia" w:ascii="Georgia" w:hAnsi="Georgia"/>
        </w:rPr>
        <w:t xml:space="preserve"> désignent les potentiels à partir desquels les réductions sont observées en tenant compte des surpotentiels sur la cathode. L'électrolyte utilisé ici est un électrolyte organique le perchlorate de tétrabutylammonium ( </w:t>
      </w:r>
      <m:oMath>
        <m:sSub>
          <m:sSubPr/>
          <m:e>
            <m:r>
              <m:rPr>
                <m:sty m:val="p"/>
              </m:rPr>
              <m:t>C</m:t>
            </m:r>
          </m:e>
          <m:sub>
            <m:r>
              <m:rPr>
                <m:sty m:val="p"/>
              </m:rPr>
              <m:t>4</m:t>
            </m:r>
          </m:sub>
        </m:sSub>
        <m:sSub>
          <m:sSubPr/>
          <m:e>
            <m:r>
              <m:rPr>
                <m:sty m:val="p"/>
              </m:rPr>
              <m:t>H</m:t>
            </m:r>
          </m:e>
          <m:sub>
            <m:r>
              <m:rPr>
                <m:sty m:val="p"/>
              </m:rPr>
              <m:t>9</m:t>
            </m:r>
          </m:sub>
        </m:sSub>
        <m:sSup>
          <m:sSupPr/>
          <m:e>
            <m:r>
              <m:rPr>
                <m:nor/>
              </m:rPr>
              <m:t xml:space="preserve"> </m:t>
            </m:r>
            <m:r>
              <m:rPr>
                <m:sty m:val="p"/>
              </m:rPr>
              <m:t>N</m:t>
            </m:r>
          </m:e>
          <m:sup>
            <m:r>
              <m:rPr>
                <m:sty m:val="p"/>
              </m:rPr>
              <m:t>+</m:t>
            </m:r>
          </m:sup>
        </m:sSup>
        <m:r>
          <m:rPr>
            <m:sty m:val="p"/>
          </m:rPr>
          <m:t>⋅</m:t>
        </m:r>
        <m:sSub>
          <m:sSubPr/>
          <m:e>
            <m:r>
              <m:rPr>
                <m:sty m:val="p"/>
              </m:rPr>
              <m:t>ClO</m:t>
            </m:r>
          </m:e>
          <m:sub>
            <m:r>
              <m:rPr>
                <m:sty m:val="p"/>
              </m:rPr>
              <m:t>4</m:t>
            </m:r>
          </m:sub>
        </m:sSub>
        <m:sSup>
          <m:sSupPr/>
          <m:e>
            <m:r>
              <m:t xml:space="preserve"> </m:t>
            </m:r>
          </m:e>
          <m:sup>
            <m:r>
              <m:rPr>
                <m:sty m:val="p"/>
              </m:rPr>
              <m:t>−</m:t>
            </m:r>
          </m:sup>
        </m:sSup>
      </m:oMath>
      <w:r>
        <w:rPr/>
        <w:t xml:space="preserve">).</w:t>
      </w:r>
    </w:p>
    <w:p>
      <w:pPr>
        <w:spacing w:lineRule="auto"/>
        <w:jc w:val="center"/>
      </w:pPr>
      <w:r>
        <w:rPr/>
        <w:drawing>
          <wp:inline distB="0" distL="0" distR="0" distT="0">
            <wp:extent cx="5486400" cy="982281"/>
            <wp:effectExtent b="0" l="0" r="0" t="0"/>
            <wp:docPr id="17" name="image-605bd801fd57bd8a5cc2cacd59faba23c8effd12.jpg"/>
            <a:graphic>
              <a:graphicData uri="http://schemas.openxmlformats.org/drawingml/2006/picture">
                <pic:pic>
                  <pic:nvPicPr>
                    <pic:cNvPr id="17" name="image-605bd801fd57bd8a5cc2cacd59faba23c8effd12.jpg" descr=""/>
                    <pic:cNvPicPr/>
                  </pic:nvPicPr>
                  <pic:blipFill>
                    <a:blip r:embed="rId21" cstate="print"/>
                    <a:srcRect b="0" l="0" r="0" t="0"/>
                    <a:stretch>
                      <a:fillRect/>
                    </a:stretch>
                  </pic:blipFill>
                  <pic:spPr>
                    <a:xfrm>
                      <a:off x="0" y="0"/>
                      <a:ext cx="5486400" cy="982281"/>
                    </a:xfrm>
                    <a:prstGeom prst="rect"/>
                  </pic:spPr>
                </pic:pic>
              </a:graphicData>
            </a:graphic>
          </wp:inline>
        </w:drawing>
      </w:r>
    </w:p>
    <w:p>
      <w:pPr>
        <w:spacing w:lineRule="auto"/>
      </w:pPr>
      <w:r>
        <w:rPr>
          <w:rFonts w:eastAsia="Georgia" w:cs="Georgia" w:ascii="Georgia" w:hAnsi="Georgia"/>
        </w:rPr>
        <w:t xml:space="preserve">Figure 10 - Équation bilan de la réaction d'allylation du benzaldéhyde.</w:t>
      </w:r>
    </w:p>
    <w:p>
      <w:pPr>
        <w:spacing w:after="220" w:lineRule="auto"/>
      </w:pPr>
      <w:r>
        <w:rPr>
          <w:rFonts w:eastAsia="Georgia" w:cs="Georgia" w:ascii="Georgia" w:hAnsi="Georgia"/>
        </w:rPr>
        <w:t xml:space="preserve">La réaction est régiosélective et peut former deux produits : soit l'adduit </w:t>
      </w:r>
      <m:oMath>
        <m:r>
          <m:rPr>
            <m:sty m:val="p"/>
          </m:rPr>
          <m:t>−</m:t>
        </m:r>
        <m:r>
          <m:rPr>
            <m:sty m:val="i"/>
          </m:rPr>
          <m:t>α</m:t>
        </m:r>
      </m:oMath>
      <w:r>
        <w:rPr/>
        <w:t xml:space="preserve">, soit l'adduit </w:t>
      </w:r>
      <m:oMath>
        <m:r>
          <m:rPr>
            <m:sty m:val="p"/>
          </m:rPr>
          <m:t>−</m:t>
        </m:r>
        <m:r>
          <m:rPr>
            <m:sty m:val="i"/>
          </m:rPr>
          <m:t>γ</m:t>
        </m:r>
      </m:oMath>
      <w:r>
        <w:rPr/>
        <w:t xml:space="preserve">.</w:t>
      </w:r>
      <w:r>
        <w:rPr/>
        <w:br w:type="textWrapping"/>
      </w:r>
      <w:r>
        <w:rPr/>
        <w:t xml:space="preserve">28. Donner les noms en nomenclature officielle du substrat </w:t>
      </w:r>
      <m:oMath>
        <m:r>
          <m:rPr>
            <m:sty m:val="b"/>
          </m:rPr>
          <m:t>1</m:t>
        </m:r>
      </m:oMath>
      <w:r>
        <w:rPr>
          <w:rFonts w:eastAsia="Georgia" w:cs="Georgia" w:ascii="Georgia" w:hAnsi="Georgia"/>
        </w:rPr>
        <w:t xml:space="preserve"> de départ ainsi que des deux adduits </w:t>
      </w:r>
      <m:oMath>
        <m:r>
          <m:rPr>
            <m:sty m:val="i"/>
          </m:rPr>
          <m:t>α</m:t>
        </m:r>
      </m:oMath>
      <w:r>
        <w:rPr/>
        <w:t xml:space="preserve"> et </w:t>
      </w:r>
      <m:oMath>
        <m:r>
          <m:rPr>
            <m:sty m:val="i"/>
          </m:rPr>
          <m:t>γ</m:t>
        </m:r>
      </m:oMath>
      <w:r>
        <w:rPr/>
        <w:t xml:space="preserve">.</w:t>
      </w:r>
      <w:r>
        <w:rPr/>
        <w:br w:type="textWrapping"/>
      </w:r>
      <w:r>
        <w:rPr>
          <w:rFonts w:eastAsia="Georgia" w:cs="Georgia" w:ascii="Georgia" w:hAnsi="Georgia"/>
        </w:rPr>
        <w:t xml:space="preserve">29. La réduction de 1 par électrolyse conduit à un carbanion que l'on notera 1' et au départ de l'ion chlorure </w:t>
      </w:r>
      <m:oMath>
        <m:sSup>
          <m:sSupPr/>
          <m:e>
            <m:r>
              <m:rPr>
                <m:sty m:val="p"/>
              </m:rPr>
              <m:t>Cl</m:t>
            </m:r>
          </m:e>
          <m:sup>
            <m:r>
              <m:rPr>
                <m:sty m:val="p"/>
              </m:rPr>
              <m:t>−</m:t>
            </m:r>
          </m:sup>
        </m:sSup>
      </m:oMath>
      <w:r>
        <w:rPr>
          <w:rFonts w:eastAsia="Georgia" w:cs="Georgia" w:ascii="Georgia" w:hAnsi="Georgia"/>
        </w:rPr>
        <w:t xml:space="preserve">. Donner la demi-équation électronique de la réduction et représenter les différentes formes mésomères pour le carbanion </w:t>
      </w:r>
      <m:oMath>
        <m:sSup>
          <m:sSupPr/>
          <m:e>
            <m:r>
              <m:rPr>
                <m:sty m:val="b"/>
              </m:rPr>
              <m:t>1</m:t>
            </m:r>
          </m:e>
          <m:sup>
            <m:r>
              <m:rPr>
                <m:sty m:val="i"/>
              </m:rPr>
              <m:t>′</m:t>
            </m:r>
          </m:sup>
        </m:sSup>
      </m:oMath>
      <w:r>
        <w:rPr/>
        <w:t xml:space="preserve">.</w:t>
      </w:r>
      <w:r>
        <w:rPr/>
        <w:br w:type="textWrapping"/>
      </w:r>
      <w:r>
        <w:rPr>
          <w:rFonts w:eastAsia="Georgia" w:cs="Georgia" w:ascii="Georgia" w:hAnsi="Georgia"/>
        </w:rPr>
        <w:t xml:space="preserve">30. Montrer que la réaction entre 1' et 2 peut conduire aux deux adduits </w:t>
      </w:r>
      <m:oMath>
        <m:r>
          <m:rPr>
            <m:sty m:val="i"/>
          </m:rPr>
          <m:t>α</m:t>
        </m:r>
      </m:oMath>
      <w:r>
        <w:rPr/>
        <w:t xml:space="preserve"> et </w:t>
      </w:r>
      <m:oMath>
        <m:r>
          <m:rPr>
            <m:sty m:val="i"/>
          </m:rPr>
          <m:t>γ</m:t>
        </m:r>
      </m:oMath>
      <w:r>
        <w:rPr>
          <w:rFonts w:eastAsia="Georgia" w:cs="Georgia" w:ascii="Georgia" w:hAnsi="Georgia"/>
        </w:rPr>
        <w:t xml:space="preserve">. Indiquer le nom de la réaction mise en jeu ainsi que son mécanisme pour chacun des deux adduits.</w:t>
      </w:r>
      <w:r>
        <w:rPr/>
        <w:br w:type="textWrapping"/>
      </w:r>
      <w:r>
        <w:rPr>
          <w:rFonts w:eastAsia="Georgia" w:cs="Georgia" w:ascii="Georgia" w:hAnsi="Georgia"/>
        </w:rPr>
        <w:t xml:space="preserve">Les charges partielles des atomes de carbone du carbanion 1' sont représentées sur la figure (11).</w:t>
      </w:r>
    </w:p>
    <w:p>
      <w:pPr>
        <w:spacing w:lineRule="auto"/>
        <w:jc w:val="center"/>
      </w:pPr>
      <w:r>
        <w:rPr/>
        <w:drawing>
          <wp:inline distB="0" distL="0" distR="0" distT="0">
            <wp:extent cx="5143500" cy="2486025"/>
            <wp:effectExtent b="0" l="0" r="0" t="0"/>
            <wp:docPr id="18" name="image-895deec8bdec48e615f0d9ae5544822285afa4f7.jpg"/>
            <a:graphic>
              <a:graphicData uri="http://schemas.openxmlformats.org/drawingml/2006/picture">
                <pic:pic>
                  <pic:nvPicPr>
                    <pic:cNvPr id="18" name="image-895deec8bdec48e615f0d9ae5544822285afa4f7.jpg" descr=""/>
                    <pic:cNvPicPr/>
                  </pic:nvPicPr>
                  <pic:blipFill>
                    <a:blip r:embed="rId22" cstate="print"/>
                    <a:srcRect b="0" l="0" r="0" t="0"/>
                    <a:stretch>
                      <a:fillRect/>
                    </a:stretch>
                  </pic:blipFill>
                  <pic:spPr>
                    <a:xfrm>
                      <a:off x="0" y="0"/>
                      <a:ext cx="5143500" cy="2486025"/>
                    </a:xfrm>
                    <a:prstGeom prst="rect"/>
                  </pic:spPr>
                </pic:pic>
              </a:graphicData>
            </a:graphic>
          </wp:inline>
        </w:drawing>
      </w:r>
    </w:p>
    <w:p>
      <w:pPr>
        <w:spacing w:lineRule="auto"/>
      </w:pPr>
      <w:r>
        <w:rPr/>
        <w:t xml:space="preserve">Figure 11 - Charges partielles des atomes de carbone dans le carbanion 1'.</w:t>
      </w:r>
    </w:p>
    <w:p>
      <w:pPr>
        <w:numPr>
          <w:ilvl w:val="0"/>
          <w:numId w:val="27"/>
        </w:numPr>
        <w:spacing w:lineRule="auto"/>
      </w:pPr>
      <w:r>
        <w:rPr>
          <w:rFonts w:eastAsia="Georgia" w:cs="Georgia" w:ascii="Georgia" w:hAnsi="Georgia"/>
        </w:rPr>
        <w:t xml:space="preserve">Indiquer le site du carbanion 1' qui aura la plus grande interaction avec l'électrolyte perchlorate de tetrabutylammonium </w:t>
      </w:r>
      <m:oMath>
        <m:d>
          <m:dPr>
            <m:begChr m:val="("/>
            <m:endChr m:val=")"/>
            <m:ctrlPr>
              <w:rPr>
                <w:rFonts w:ascii="Cambria Math" w:hAnsi="Cambria Math"/>
              </w:rPr>
            </m:ctrlPr>
          </m:dPr>
          <m:e>
            <m:sSub>
              <m:sSubPr/>
              <m:e>
                <m:r>
                  <m:rPr>
                    <m:sty m:val="p"/>
                  </m:rPr>
                  <m:t>C</m:t>
                </m:r>
              </m:e>
              <m:sub>
                <m:r>
                  <m:rPr>
                    <m:sty m:val="p"/>
                  </m:rPr>
                  <m:t>4</m:t>
                </m:r>
              </m:sub>
            </m:sSub>
            <m:sSub>
              <m:sSubPr/>
              <m:e>
                <m:r>
                  <m:rPr>
                    <m:sty m:val="p"/>
                  </m:rPr>
                  <m:t>H</m:t>
                </m:r>
              </m:e>
              <m:sub>
                <m:r>
                  <m:rPr>
                    <m:sty m:val="p"/>
                  </m:rPr>
                  <m:t>9</m:t>
                </m:r>
              </m:sub>
            </m:sSub>
            <m:sSup>
              <m:sSupPr/>
              <m:e>
                <m:r>
                  <m:rPr>
                    <m:nor/>
                  </m:rPr>
                  <m:t xml:space="preserve"> </m:t>
                </m:r>
                <m:r>
                  <m:rPr>
                    <m:sty m:val="p"/>
                  </m:rPr>
                  <m:t>N</m:t>
                </m:r>
              </m:e>
              <m:sup>
                <m:r>
                  <m:rPr>
                    <m:sty m:val="p"/>
                  </m:rPr>
                  <m:t>+</m:t>
                </m:r>
              </m:sup>
            </m:sSup>
            <m:r>
              <m:rPr>
                <m:sty m:val="p"/>
              </m:rPr>
              <m:t>⋅</m:t>
            </m:r>
            <m:sSub>
              <m:sSubPr/>
              <m:e>
                <m:r>
                  <m:rPr>
                    <m:sty m:val="p"/>
                  </m:rPr>
                  <m:t>ClO</m:t>
                </m:r>
              </m:e>
              <m:sub>
                <m:r>
                  <m:rPr>
                    <m:sty m:val="p"/>
                  </m:rPr>
                  <m:t>4</m:t>
                </m:r>
              </m:sub>
            </m:sSub>
            <m:sSup>
              <m:sSupPr/>
              <m:e>
                <m:r>
                  <m:t xml:space="preserve"> </m:t>
                </m:r>
              </m:e>
              <m:sup>
                <m:r>
                  <m:rPr>
                    <m:sty m:val="p"/>
                  </m:rPr>
                  <m:t>−</m:t>
                </m:r>
              </m:sup>
            </m:sSup>
          </m:e>
        </m:d>
      </m:oMath>
      <w:r>
        <w:rPr>
          <w:rFonts w:eastAsia="Georgia" w:cs="Georgia" w:ascii="Georgia" w:hAnsi="Georgia"/>
        </w:rPr>
        <w:t xml:space="preserve">. En déduire quel carbone présente le caractère nucléophile le plus important du carbanion 1' en solution, en présence de perchlorate de tetrabutylammonium.</w:t>
      </w:r>
    </w:p>
    <w:p>
      <w:pPr>
        <w:numPr>
          <w:ilvl w:val="0"/>
          <w:numId w:val="27"/>
        </w:numPr>
        <w:spacing w:lineRule="auto"/>
      </w:pPr>
      <w:r>
        <w:rPr>
          <w:rFonts w:eastAsia="Georgia" w:cs="Georgia" w:ascii="Georgia" w:hAnsi="Georgia"/>
        </w:rPr>
        <w:t xml:space="preserve">Indiquer, en justifiant, l'adduit qui est formé majoritairement lors de la réaction entre le carbanion 1' et </w:t>
      </w:r>
      <m:oMath>
        <m:r>
          <m:rPr>
            <m:sty m:val="b"/>
          </m:rPr>
          <m:t>2</m:t>
        </m:r>
      </m:oMath>
      <w:r>
        <w:rPr>
          <w:rFonts w:eastAsia="Georgia" w:cs="Georgia" w:ascii="Georgia" w:hAnsi="Georgia"/>
        </w:rPr>
        <w:t xml:space="preserve"> en présence de perchlorate de tetrabutylammonium.</w:t>
      </w:r>
    </w:p>
    <w:p>
      <w:pPr>
        <w:spacing w:after="220" w:lineRule="auto"/>
      </w:pPr>
      <w:r>
        <w:rPr>
          <w:rFonts w:eastAsia="Georgia" w:cs="Georgia" w:ascii="Georgia" w:hAnsi="Georgia"/>
        </w:rPr>
        <w:t xml:space="preserve">Lorsque c'est l'aldéhyde qui est réduit, la réaction passe par un mécanisme radicalaire. Le spectre </w:t>
      </w:r>
      <m:oMath>
        <m:r>
          <m:rPr>
            <m:sty m:val="p"/>
          </m:rPr>
          <m:t>RMN</m:t>
        </m:r>
        <m:sSup>
          <m:sSupPr/>
          <m:e>
            <m:r>
              <m:t xml:space="preserve"> </m:t>
            </m:r>
          </m:e>
          <m:sup>
            <m:r>
              <m:rPr>
                <m:sty m:val="p"/>
              </m:rPr>
              <m:t>1</m:t>
            </m:r>
          </m:sup>
        </m:sSup>
        <m:r>
          <m:rPr>
            <m:sty m:val="p"/>
          </m:rPr>
          <m:t>H</m:t>
        </m:r>
      </m:oMath>
      <w:r>
        <w:rPr>
          <w:rFonts w:eastAsia="Georgia" w:cs="Georgia" w:ascii="Georgia" w:hAnsi="Georgia"/>
        </w:rPr>
        <w:t xml:space="preserve"> du composé obtenu majoritaire présente les signaux suivants :</w:t>
      </w:r>
      <w:r>
        <w:rPr/>
        <w:br w:type="textWrapping"/>
      </w:r>
      <m:oMath>
        <m:r>
          <m:rPr>
            <m:sty m:val="i"/>
          </m:rPr>
          <m:t>δ</m:t>
        </m:r>
        <m:r>
          <m:rPr>
            <m:sty m:val="p"/>
          </m:rPr>
          <m:t>(</m:t>
        </m:r>
        <m:r>
          <m:rPr>
            <m:sty m:val="p"/>
          </m:rPr>
          <m:t>ppm</m:t>
        </m:r>
        <m:r>
          <m:rPr>
            <m:sty m:val="p"/>
          </m:rPr>
          <m:t>)</m:t>
        </m:r>
        <m:r>
          <m:rPr>
            <m:sty m:val="p"/>
          </m:rPr>
          <m:t>:</m:t>
        </m:r>
        <m:r>
          <m:rPr>
            <m:sty m:val="p"/>
          </m:rPr>
          <m:t>7</m:t>
        </m:r>
        <m:r>
          <m:rPr>
            <m:sty m:val="p"/>
          </m:rPr>
          <m:t>,</m:t>
        </m:r>
        <m:r>
          <m:rPr>
            <m:sty m:val="p"/>
          </m:rPr>
          <m:t>40</m:t>
        </m:r>
        <m:r>
          <m:rPr>
            <m:sty m:val="p"/>
          </m:rPr>
          <m:t>−</m:t>
        </m:r>
        <m:r>
          <m:rPr>
            <m:sty m:val="p"/>
          </m:rPr>
          <m:t>7</m:t>
        </m:r>
        <m:r>
          <m:rPr>
            <m:sty m:val="p"/>
          </m:rPr>
          <m:t>,</m:t>
        </m:r>
        <m:r>
          <m:rPr>
            <m:sty m:val="p"/>
          </m:rPr>
          <m:t>23</m:t>
        </m:r>
        <m:r>
          <m:rPr>
            <m:sty m:val="p"/>
          </m:rPr>
          <m:t>(</m:t>
        </m:r>
        <m:r>
          <m:rPr>
            <m:nor/>
          </m:rPr>
          <m:t xml:space="preserve"> </m:t>
        </m:r>
        <m:r>
          <m:rPr>
            <m:sty m:val="p"/>
          </m:rPr>
          <m:t>m</m:t>
        </m:r>
        <m:r>
          <m:rPr>
            <m:sty m:val="p"/>
          </m:rPr>
          <m:t>,</m:t>
        </m:r>
        <m:r>
          <m:rPr>
            <m:sty m:val="p"/>
          </m:rPr>
          <m:t>5</m:t>
        </m:r>
        <m:r>
          <m:rPr>
            <m:sty m:val="p"/>
          </m:rPr>
          <m:t>H</m:t>
        </m:r>
        <m:r>
          <m:rPr>
            <m:sty m:val="p"/>
          </m:rPr>
          <m:t>)</m:t>
        </m:r>
        <m:r>
          <m:rPr>
            <m:sty m:val="p"/>
          </m:rPr>
          <m:t>,</m:t>
        </m:r>
        <m:r>
          <m:rPr>
            <m:sty m:val="p"/>
          </m:rPr>
          <m:t>5</m:t>
        </m:r>
        <m:r>
          <m:rPr>
            <m:sty m:val="p"/>
          </m:rPr>
          <m:t>,</m:t>
        </m:r>
        <m:r>
          <m:rPr>
            <m:sty m:val="p"/>
          </m:rPr>
          <m:t>15</m:t>
        </m:r>
        <m:r>
          <m:rPr>
            <m:sty m:val="p"/>
          </m:rPr>
          <m:t>(</m:t>
        </m:r>
        <m:r>
          <m:rPr>
            <m:nor/>
          </m:rPr>
          <m:t xml:space="preserve"> </m:t>
        </m:r>
        <m:r>
          <m:rPr>
            <m:sty m:val="p"/>
          </m:rPr>
          <m:t>m</m:t>
        </m:r>
        <m:r>
          <m:rPr>
            <m:sty m:val="p"/>
          </m:rPr>
          <m:t>,</m:t>
        </m:r>
        <m:r>
          <m:rPr>
            <m:sty m:val="p"/>
          </m:rPr>
          <m:t>1</m:t>
        </m:r>
        <m:r>
          <m:rPr>
            <m:sty m:val="p"/>
          </m:rPr>
          <m:t>H</m:t>
        </m:r>
        <m:r>
          <m:rPr>
            <m:sty m:val="p"/>
          </m:rPr>
          <m:t>)</m:t>
        </m:r>
        <m:r>
          <m:rPr>
            <m:sty m:val="p"/>
          </m:rPr>
          <m:t>,</m:t>
        </m:r>
        <m:r>
          <m:rPr>
            <m:sty m:val="p"/>
          </m:rPr>
          <m:t>4</m:t>
        </m:r>
        <m:r>
          <m:rPr>
            <m:sty m:val="p"/>
          </m:rPr>
          <m:t>,</m:t>
        </m:r>
        <m:r>
          <m:rPr>
            <m:sty m:val="p"/>
          </m:rPr>
          <m:t>68</m:t>
        </m:r>
        <m:r>
          <m:rPr>
            <m:sty m:val="p"/>
          </m:rPr>
          <m:t>(</m:t>
        </m:r>
        <m:r>
          <m:rPr>
            <m:nor/>
          </m:rPr>
          <m:t xml:space="preserve"> </m:t>
        </m:r>
        <m:r>
          <m:rPr>
            <m:sty m:val="p"/>
          </m:rPr>
          <m:t>m</m:t>
        </m:r>
        <m:r>
          <m:rPr>
            <m:sty m:val="p"/>
          </m:rPr>
          <m:t>,</m:t>
        </m:r>
        <m:r>
          <m:rPr>
            <m:sty m:val="p"/>
          </m:rPr>
          <m:t>1</m:t>
        </m:r>
        <m:r>
          <m:rPr>
            <m:sty m:val="p"/>
          </m:rPr>
          <m:t>H</m:t>
        </m:r>
        <m:r>
          <m:rPr>
            <m:sty m:val="p"/>
          </m:rPr>
          <m:t>)</m:t>
        </m:r>
        <m:r>
          <m:rPr>
            <m:sty m:val="p"/>
          </m:rPr>
          <m:t>,</m:t>
        </m:r>
        <m:r>
          <m:rPr>
            <m:sty m:val="p"/>
          </m:rPr>
          <m:t>2</m:t>
        </m:r>
        <m:r>
          <m:rPr>
            <m:sty m:val="p"/>
          </m:rPr>
          <m:t>,</m:t>
        </m:r>
        <m:r>
          <m:rPr>
            <m:sty m:val="p"/>
          </m:rPr>
          <m:t>43</m:t>
        </m:r>
        <m:r>
          <m:rPr>
            <m:sty m:val="p"/>
          </m:rPr>
          <m:t>(</m:t>
        </m:r>
        <m:r>
          <m:rPr>
            <m:nor/>
          </m:rPr>
          <m:t xml:space="preserve"> </m:t>
        </m:r>
        <m:r>
          <m:rPr>
            <m:sty m:val="p"/>
          </m:rPr>
          <m:t>m</m:t>
        </m:r>
        <m:r>
          <m:rPr>
            <m:sty m:val="p"/>
          </m:rPr>
          <m:t>,</m:t>
        </m:r>
        <m:r>
          <m:rPr>
            <m:sty m:val="p"/>
          </m:rPr>
          <m:t>2</m:t>
        </m:r>
        <m:r>
          <m:rPr>
            <m:sty m:val="p"/>
          </m:rPr>
          <m:t>H</m:t>
        </m:r>
        <m:r>
          <m:rPr>
            <m:sty m:val="p"/>
          </m:rPr>
          <m:t>)</m:t>
        </m:r>
        <m:r>
          <m:rPr>
            <m:sty m:val="p"/>
          </m:rPr>
          <m:t>,</m:t>
        </m:r>
        <m:r>
          <m:rPr>
            <m:sty m:val="p"/>
          </m:rPr>
          <m:t>1</m:t>
        </m:r>
        <m:r>
          <m:rPr>
            <m:sty m:val="p"/>
          </m:rPr>
          <m:t>,</m:t>
        </m:r>
        <m:r>
          <m:rPr>
            <m:sty m:val="p"/>
          </m:rPr>
          <m:t>83</m:t>
        </m:r>
        <m:r>
          <m:rPr>
            <m:sty m:val="p"/>
          </m:rPr>
          <m:t>(</m:t>
        </m:r>
      </m:oMath>
      <w:r>
        <w:rPr/>
        <w:t xml:space="preserve"> singulet large, 1 H</w:t>
      </w:r>
      <m:oMath>
        <m:r>
          <m:rPr>
            <m:sty m:val="p"/>
          </m:rPr>
          <m:t>)</m:t>
        </m:r>
        <m:r>
          <m:rPr>
            <m:sty m:val="p"/>
          </m:rPr>
          <m:t>,</m:t>
        </m:r>
        <m:r>
          <m:rPr>
            <m:sty m:val="p"/>
          </m:rPr>
          <m:t>1</m:t>
        </m:r>
        <m:r>
          <m:rPr>
            <m:sty m:val="p"/>
          </m:rPr>
          <m:t>,</m:t>
        </m:r>
        <m:r>
          <m:rPr>
            <m:sty m:val="p"/>
          </m:rPr>
          <m:t>72</m:t>
        </m:r>
        <m:r>
          <m:rPr>
            <m:sty m:val="p"/>
          </m:rPr>
          <m:t>(</m:t>
        </m:r>
        <m:r>
          <m:rPr>
            <m:nor/>
          </m:rPr>
          <m:t xml:space="preserve"> </m:t>
        </m:r>
        <m:r>
          <m:rPr>
            <m:sty m:val="p"/>
          </m:rPr>
          <m:t>s</m:t>
        </m:r>
        <m:r>
          <m:rPr>
            <m:sty m:val="p"/>
          </m:rPr>
          <m:t>,</m:t>
        </m:r>
        <m:r>
          <m:rPr>
            <m:sty m:val="p"/>
          </m:rPr>
          <m:t>3</m:t>
        </m:r>
        <m:r>
          <m:rPr>
            <m:sty m:val="p"/>
          </m:rPr>
          <m:t>H</m:t>
        </m:r>
        <m:r>
          <m:rPr>
            <m:sty m:val="p"/>
          </m:rPr>
          <m:t>)</m:t>
        </m:r>
      </m:oMath>
      <w:r>
        <w:rPr/>
        <w:t xml:space="preserve">, </w:t>
      </w:r>
      <m:oMath>
        <m:r>
          <m:rPr>
            <m:sty m:val="p"/>
          </m:rPr>
          <m:t>1</m:t>
        </m:r>
        <m:r>
          <m:rPr>
            <m:sty m:val="p"/>
          </m:rPr>
          <m:t>,</m:t>
        </m:r>
        <m:r>
          <m:rPr>
            <m:sty m:val="p"/>
          </m:rPr>
          <m:t>61</m:t>
        </m:r>
        <m:r>
          <m:rPr>
            <m:sty m:val="p"/>
          </m:rPr>
          <m:t>(</m:t>
        </m:r>
        <m:r>
          <m:rPr>
            <m:nor/>
          </m:rPr>
          <m:t xml:space="preserve"> </m:t>
        </m:r>
        <m:r>
          <m:rPr>
            <m:sty m:val="p"/>
          </m:rPr>
          <m:t>s</m:t>
        </m:r>
        <m:r>
          <m:rPr>
            <m:sty m:val="p"/>
          </m:rPr>
          <m:t>,</m:t>
        </m:r>
        <m:r>
          <m:rPr>
            <m:sty m:val="p"/>
          </m:rPr>
          <m:t>3</m:t>
        </m:r>
        <m:r>
          <m:rPr>
            <m:sty m:val="p"/>
          </m:rPr>
          <m:t>H</m:t>
        </m:r>
        <m:r>
          <m:rPr>
            <m:sty m:val="p"/>
          </m:rPr>
          <m:t>)</m:t>
        </m:r>
      </m:oMath>
      <w:r>
        <w:rPr/>
        <w:t xml:space="preserve">.</w:t>
      </w:r>
      <w:r>
        <w:rPr/>
        <w:br w:type="textWrapping"/>
      </w:r>
      <w:r>
        <w:rPr/>
        <w:t xml:space="preserve">s : singulet et m : multiplet</w:t>
      </w:r>
      <w:r>
        <w:rPr/>
        <w:br w:type="textWrapping"/>
      </w:r>
      <w:r>
        <w:rPr/>
        <w:t xml:space="preserve">33. En utilisant le spectre RMN </w:t>
      </w:r>
      <m:oMath>
        <m:sSup>
          <m:sSupPr/>
          <m:e>
            <m:r>
              <m:t xml:space="preserve"> </m:t>
            </m:r>
          </m:e>
          <m:sup>
            <m:r>
              <m:rPr>
                <m:sty m:val="p"/>
              </m:rPr>
              <m:t>1</m:t>
            </m:r>
          </m:sup>
        </m:sSup>
        <m:r>
          <m:rPr>
            <m:sty m:val="p"/>
          </m:rPr>
          <m:t>H</m:t>
        </m:r>
      </m:oMath>
      <w:r>
        <w:rPr>
          <w:rFonts w:eastAsia="Georgia" w:cs="Georgia" w:ascii="Georgia" w:hAnsi="Georgia"/>
        </w:rPr>
        <w:t xml:space="preserve">, identifier l'adduit formé majoritairement lorsque l'aldéhyde est réduit. Attribuer les différents signaux observés en justifiant soigneusement.</w:t>
      </w:r>
    </w:p>
    <w:p>
      <w:pPr>
        <w:spacing w:after="220" w:lineRule="auto"/>
      </w:pPr>
      <w:r>
        <w:rPr>
          <w:rFonts w:eastAsia="Georgia" w:cs="Georgia" w:ascii="Georgia" w:hAnsi="Georgia"/>
        </w:rPr>
        <w:t xml:space="preserve">La synthèse est effectuée tout d'abord dans un réacteur fermé. Une solution contenant les deux composés de départ, avec une concentration de </w:t>
      </w:r>
      <m:oMath>
        <m:r>
          <m:rPr>
            <m:sty m:val="p"/>
          </m:rPr>
          <m:t>0</m:t>
        </m:r>
        <m:r>
          <m:rPr>
            <m:sty m:val="p"/>
          </m:rPr>
          <m:t>,</m:t>
        </m:r>
        <m:r>
          <m:rPr>
            <m:sty m:val="p"/>
          </m:rPr>
          <m:t>500</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pour le composé 1 et de </w:t>
      </w:r>
      <m:oMath>
        <m:r>
          <m:rPr>
            <m:sty m:val="p"/>
          </m:rPr>
          <m:t>2</m:t>
        </m:r>
        <m:r>
          <m:rPr>
            <m:sty m:val="p"/>
          </m:rPr>
          <m:t>,</m:t>
        </m:r>
        <m:r>
          <m:rPr>
            <m:sty m:val="p"/>
          </m:rPr>
          <m:t>0</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pour le composé </w:t>
      </w:r>
      <m:oMath>
        <m:r>
          <m:rPr>
            <m:sty m:val="b"/>
          </m:rPr>
          <m:t>2</m:t>
        </m:r>
      </m:oMath>
      <w:r>
        <w:rPr/>
        <w:t xml:space="preserve"> et </w:t>
      </w:r>
      <m:oMath>
        <m:r>
          <m:rPr>
            <m:sty m:val="p"/>
          </m:rPr>
          <m:t>0</m:t>
        </m:r>
        <m:r>
          <m:rPr>
            <m:sty m:val="p"/>
          </m:rPr>
          <m:t>,</m:t>
        </m:r>
        <m:r>
          <m:rPr>
            <m:sty m:val="p"/>
          </m:rPr>
          <m:t>200</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pour l'électrolyte le perchlorate de tétrabutylammonium dans le HMPA (hexaméthylphosphoramide) sous un courant surfacique de </w:t>
      </w:r>
      <m:oMath>
        <m:r>
          <m:rPr>
            <m:sty m:val="p"/>
          </m:rPr>
          <m:t>10</m:t>
        </m:r>
        <m:r>
          <m:rPr>
            <m:nor/>
          </m:rPr>
          <m:t xml:space="preserve"> </m:t>
        </m:r>
        <m:r>
          <m:rPr>
            <m:sty m:val="p"/>
          </m:rPr>
          <m:t>mA</m:t>
        </m:r>
        <m:r>
          <m:rPr>
            <m:sty m:val="p"/>
          </m:rPr>
          <m:t>⋅</m:t>
        </m:r>
        <m:sSup>
          <m:sSupPr/>
          <m:e>
            <m:r>
              <m:rPr>
                <m:nor/>
              </m:rPr>
              <m:t xml:space="preserve"> </m:t>
            </m:r>
            <m:r>
              <m:rPr>
                <m:sty m:val="p"/>
              </m:rPr>
              <m:t>cm</m:t>
            </m:r>
          </m:e>
          <m:sup>
            <m:r>
              <m:rPr>
                <m:sty m:val="p"/>
              </m:rPr>
              <m:t>−</m:t>
            </m:r>
            <m:r>
              <m:rPr>
                <m:sty m:val="p"/>
              </m:rPr>
              <m:t>2</m:t>
            </m:r>
          </m:sup>
        </m:sSup>
      </m:oMath>
      <w:r>
        <w:rPr>
          <w:rFonts w:eastAsia="Georgia" w:cs="Georgia" w:ascii="Georgia" w:hAnsi="Georgia"/>
        </w:rPr>
        <w:t xml:space="preserve"> a conduit à la formation de </w:t>
      </w:r>
      <m:oMath>
        <m:r>
          <m:rPr>
            <m:sty m:val="p"/>
          </m:rPr>
          <m:t>71</m:t>
        </m:r>
        <m:r>
          <m:rPr>
            <m:sty m:val="p"/>
          </m:rPr>
          <m:t>%</m:t>
        </m:r>
      </m:oMath>
      <w:r>
        <w:rPr/>
        <w:t xml:space="preserve"> de l'adduit </w:t>
      </w:r>
      <m:oMath>
        <m:r>
          <m:rPr>
            <m:sty m:val="i"/>
          </m:rPr>
          <m:t>α</m:t>
        </m:r>
      </m:oMath>
      <w:r>
        <w:rPr/>
        <w:t xml:space="preserve"> et de </w:t>
      </w:r>
      <m:oMath>
        <m:r>
          <m:rPr>
            <m:sty m:val="p"/>
          </m:rPr>
          <m:t>29</m:t>
        </m:r>
        <m:r>
          <m:rPr>
            <m:sty m:val="p"/>
          </m:rPr>
          <m:t>%</m:t>
        </m:r>
      </m:oMath>
      <w:r>
        <w:rPr/>
        <w:t xml:space="preserve"> de l'adduit </w:t>
      </w:r>
      <m:oMath>
        <m:r>
          <m:rPr>
            <m:sty m:val="i"/>
          </m:rPr>
          <m:t>γ</m:t>
        </m:r>
      </m:oMath>
      <w:r>
        <w:rPr/>
        <w:t xml:space="preserve">.</w:t>
      </w:r>
      <w:r>
        <w:rPr/>
        <w:br w:type="textWrapping"/>
      </w:r>
      <w:r>
        <w:rPr>
          <w:rFonts w:eastAsia="Georgia" w:cs="Georgia" w:ascii="Georgia" w:hAnsi="Georgia"/>
        </w:rPr>
        <w:t xml:space="preserve">34. Au vu des résultats précédents, et des potentiels de réduction des deux espèces, proposer une explication à la sélectivité observée.</w:t>
      </w:r>
    </w:p>
    <w:p>
      <w:pPr>
        <w:spacing w:after="220" w:lineRule="auto"/>
      </w:pPr>
      <w:r>
        <w:rPr>
          <w:rFonts w:eastAsia="Georgia" w:cs="Georgia" w:ascii="Georgia" w:hAnsi="Georgia"/>
        </w:rPr>
        <w:t xml:space="preserve">Afin de mieux contrôler la sélectivité, des études ont été menées dans un réacteur piston à double entrée. Les deux composés de départ sont contenus dans deux solutions différentes qui sont injectées de part et d'autre du réacteur comme illustré sur la figure (12). Les écoulements des solutions A et B se font par écoulement en couette plan, ce qui implique que les deux solutions ne se mélangent pas.</w:t>
      </w:r>
    </w:p>
    <w:p>
      <w:pPr>
        <w:spacing w:lineRule="auto"/>
        <w:jc w:val="center"/>
      </w:pPr>
      <w:r>
        <w:rPr/>
        <w:drawing>
          <wp:inline distB="0" distL="0" distR="0" distT="0">
            <wp:extent cx="5486400" cy="2938290"/>
            <wp:effectExtent b="0" l="0" r="0" t="0"/>
            <wp:docPr id="19" name="image-20e177c70d67cbca9e181752b448ae12e8556477.jpg"/>
            <a:graphic>
              <a:graphicData uri="http://schemas.openxmlformats.org/drawingml/2006/picture">
                <pic:pic>
                  <pic:nvPicPr>
                    <pic:cNvPr id="19" name="image-20e177c70d67cbca9e181752b448ae12e8556477.jpg" descr=""/>
                    <pic:cNvPicPr/>
                  </pic:nvPicPr>
                  <pic:blipFill>
                    <a:blip r:embed="rId23" cstate="print"/>
                    <a:srcRect b="0" l="0" r="0" t="0"/>
                    <a:stretch>
                      <a:fillRect/>
                    </a:stretch>
                  </pic:blipFill>
                  <pic:spPr>
                    <a:xfrm>
                      <a:off x="0" y="0"/>
                      <a:ext cx="5486400" cy="2938290"/>
                    </a:xfrm>
                    <a:prstGeom prst="rect"/>
                  </pic:spPr>
                </pic:pic>
              </a:graphicData>
            </a:graphic>
          </wp:inline>
        </w:drawing>
      </w:r>
    </w:p>
    <w:p>
      <w:pPr>
        <w:spacing w:lineRule="auto"/>
      </w:pPr>
      <w:r>
        <w:rPr>
          <w:rFonts w:eastAsia="Georgia" w:cs="Georgia" w:ascii="Georgia" w:hAnsi="Georgia"/>
        </w:rPr>
        <w:t xml:space="preserve">Figure 12 - Schéma du réacteur électrochimique utilisé pour l'étude de la réaction chimique.</w:t>
      </w:r>
    </w:p>
    <w:p>
      <w:pPr>
        <w:spacing w:after="220" w:lineRule="auto"/>
      </w:pPr>
      <w:r>
        <w:rPr>
          <w:rFonts w:eastAsia="Georgia" w:cs="Georgia" w:ascii="Georgia" w:hAnsi="Georgia"/>
        </w:rPr>
        <w:t xml:space="preserve">Lorsque la solution A contient le dérivé chloré 1 et la solution B contient l'aldéhyde 2, on obtient </w:t>
      </w:r>
      <m:oMath>
        <m:r>
          <m:rPr>
            <m:sty m:val="p"/>
          </m:rPr>
          <m:t>13</m:t>
        </m:r>
        <m:r>
          <m:rPr>
            <m:sty m:val="p"/>
          </m:rPr>
          <m:t>%</m:t>
        </m:r>
      </m:oMath>
      <w:r>
        <w:rPr/>
        <w:t xml:space="preserve"> d'adduit </w:t>
      </w:r>
      <m:oMath>
        <m:r>
          <m:rPr>
            <m:sty m:val="i"/>
          </m:rPr>
          <m:t>α</m:t>
        </m:r>
      </m:oMath>
      <w:r>
        <w:rPr/>
        <w:t xml:space="preserve"> et </w:t>
      </w:r>
      <m:oMath>
        <m:r>
          <m:rPr>
            <m:sty m:val="p"/>
          </m:rPr>
          <m:t>87</m:t>
        </m:r>
        <m:r>
          <m:rPr>
            <m:sty m:val="p"/>
          </m:rPr>
          <m:t>%</m:t>
        </m:r>
      </m:oMath>
      <w:r>
        <w:rPr/>
        <w:t xml:space="preserve"> d'adduit </w:t>
      </w:r>
      <m:oMath>
        <m:r>
          <m:rPr>
            <m:sty m:val="i"/>
          </m:rPr>
          <m:t>γ</m:t>
        </m:r>
      </m:oMath>
      <w:r>
        <w:rPr>
          <w:rFonts w:eastAsia="Georgia" w:cs="Georgia" w:ascii="Georgia" w:hAnsi="Georgia"/>
        </w:rPr>
        <w:t xml:space="preserve">. Au contraire, lorsque la solution A contient l'aldéhyde 2 et la solution B contient le dérivé chloré </w:t>
      </w:r>
      <m:oMath>
        <m:r>
          <m:rPr>
            <m:sty m:val="b"/>
          </m:rPr>
          <m:t>1</m:t>
        </m:r>
      </m:oMath>
      <w:r>
        <w:rPr/>
        <w:t xml:space="preserve">, on obtient </w:t>
      </w:r>
      <m:oMath>
        <m:r>
          <m:rPr>
            <m:sty m:val="p"/>
          </m:rPr>
          <m:t>91</m:t>
        </m:r>
        <m:r>
          <m:rPr>
            <m:sty m:val="p"/>
          </m:rPr>
          <m:t>%</m:t>
        </m:r>
      </m:oMath>
      <w:r>
        <w:rPr/>
        <w:t xml:space="preserve"> d'adduit </w:t>
      </w:r>
      <m:oMath>
        <m:r>
          <m:rPr>
            <m:sty m:val="i"/>
          </m:rPr>
          <m:t>α</m:t>
        </m:r>
      </m:oMath>
      <w:r>
        <w:rPr/>
        <w:t xml:space="preserve"> et </w:t>
      </w:r>
      <m:oMath>
        <m:r>
          <m:rPr>
            <m:sty m:val="p"/>
          </m:rPr>
          <m:t>9</m:t>
        </m:r>
        <m:r>
          <m:rPr>
            <m:sty m:val="p"/>
          </m:rPr>
          <m:t>%</m:t>
        </m:r>
      </m:oMath>
      <w:r>
        <w:rPr/>
        <w:t xml:space="preserve"> d'adduit </w:t>
      </w:r>
      <m:oMath>
        <m:r>
          <m:rPr>
            <m:sty m:val="i"/>
          </m:rPr>
          <m:t>γ</m:t>
        </m:r>
      </m:oMath>
      <w:r>
        <w:rPr/>
        <w:t xml:space="preserve">.</w:t>
      </w:r>
      <w:r>
        <w:rPr/>
        <w:br w:type="textWrapping"/>
      </w:r>
      <w:r>
        <w:rPr>
          <w:rFonts w:eastAsia="Georgia" w:cs="Georgia" w:ascii="Georgia" w:hAnsi="Georgia"/>
        </w:rPr>
        <w:t xml:space="preserve">35. En utilisant les résultats des questions précédentes, justifier les résultats obtenus expérimentalement.</w:t>
      </w:r>
    </w:p>
    <w:p>
      <w:pPr>
        <w:spacing w:after="220" w:lineRule="auto"/>
      </w:pPr>
      <w:r>
        <w:rPr>
          <w:rFonts w:eastAsia="Georgia" w:cs="Georgia" w:ascii="Georgia" w:hAnsi="Georgia"/>
        </w:rPr>
        <w:t xml:space="preserve">Il est possible d'envisager la synthèse de l'adduit </w:t>
      </w:r>
      <m:oMath>
        <m:r>
          <m:rPr>
            <m:sty m:val="i"/>
          </m:rPr>
          <m:t>α</m:t>
        </m:r>
      </m:oMath>
      <w:r>
        <w:rPr>
          <w:rFonts w:eastAsia="Georgia" w:cs="Georgia" w:ascii="Georgia" w:hAnsi="Georgia"/>
        </w:rPr>
        <w:t xml:space="preserve"> sans électrolyse en passant par un organomagnésien. Cependant, l'addition de l'organomagnésien formé à partir du composé 1 sur le benzaldéhyde 2 conduit, après hydrolyse, à un mélange des adduits </w:t>
      </w:r>
      <m:oMath>
        <m:r>
          <m:rPr>
            <m:sty m:val="i"/>
          </m:rPr>
          <m:t>α</m:t>
        </m:r>
      </m:oMath>
      <w:r>
        <w:rPr/>
        <w:t xml:space="preserve"> et </w:t>
      </w:r>
      <m:oMath>
        <m:r>
          <m:rPr>
            <m:sty m:val="i"/>
          </m:rPr>
          <m:t>γ</m:t>
        </m:r>
      </m:oMath>
      <w:r>
        <w:rPr/>
        <w:t xml:space="preserve">.</w:t>
      </w:r>
      <w:r>
        <w:rPr/>
        <w:br w:type="textWrapping"/>
      </w:r>
      <w:r>
        <w:rPr>
          <w:rFonts w:eastAsia="Georgia" w:cs="Georgia" w:ascii="Georgia" w:hAnsi="Georgia"/>
        </w:rPr>
        <w:t xml:space="preserve">36. Proposer un mécanisme pour la formation de chacun des adduits à partir de l'organomagnésien dérivé du composé 1.</w:t>
      </w:r>
      <w:r>
        <w:rPr/>
        <w:br w:type="textWrapping"/>
      </w:r>
      <w:r>
        <w:rPr>
          <w:rFonts w:eastAsia="Georgia" w:cs="Georgia" w:ascii="Georgia" w:hAnsi="Georgia"/>
        </w:rPr>
        <w:t xml:space="preserve">37. Indiquer les avantages de l'utilisation de l'électrolyse en réacteur piston plutôt que la séquence réactionnelle proposée à la question précédente.</w:t>
      </w:r>
    </w:p>
    <w:p>
      <w:pPr>
        <w:spacing w:line="271" w:before="330" w:lineRule="auto"/>
      </w:pPr>
      <w:r>
        <w:rPr>
          <w:b/>
          <w:sz w:val="42"/>
        </w:rPr>
        <w:t xml:space="preserve">Annexe.</w:t>
      </w:r>
    </w:p>
    <w:p>
      <w:pPr>
        <w:numPr>
          <w:ilvl w:val="0"/>
          <w:numId w:val="28"/>
        </w:numPr>
        <w:spacing w:lineRule="auto"/>
      </w:pPr>
      <w:r>
        <w:rPr/>
        <w:t xml:space="preserve">Masses molaires : </w:t>
      </w:r>
      <m:oMath>
        <m:sSub>
          <m:sSubPr/>
          <m:e>
            <m:r>
              <m:rPr>
                <m:sty m:val="i"/>
              </m:rPr>
              <m:t>M</m:t>
            </m:r>
          </m:e>
          <m:sub>
            <m:sSub>
              <m:sSubPr/>
              <m:e>
                <m:r>
                  <m:rPr>
                    <m:sty m:val="p"/>
                  </m:rPr>
                  <m:t>O</m:t>
                </m:r>
              </m:e>
              <m:sub>
                <m:r>
                  <m:rPr>
                    <m:sty m:val="p"/>
                  </m:rPr>
                  <m:t>2</m:t>
                </m:r>
              </m:sub>
            </m:sSub>
          </m:sub>
        </m:sSub>
        <m:r>
          <m:rPr>
            <m:sty m:val="p"/>
          </m:rPr>
          <m:t>=</m:t>
        </m:r>
        <m:r>
          <m:rPr>
            <m:sty m:val="p"/>
          </m:rPr>
          <m:t>32</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t xml:space="preserve"> et </w:t>
      </w:r>
      <m:oMath>
        <m:sSub>
          <m:sSubPr/>
          <m:e>
            <m:r>
              <m:rPr>
                <m:sty m:val="i"/>
              </m:rPr>
              <m:t>M</m:t>
            </m:r>
          </m:e>
          <m:sub>
            <m:r>
              <m:rPr>
                <m:nor/>
              </m:rPr>
              <m:t>phenol </m:t>
            </m:r>
          </m:sub>
        </m:sSub>
        <m:r>
          <m:rPr>
            <m:sty m:val="p"/>
          </m:rPr>
          <m:t>=</m:t>
        </m:r>
        <m:r>
          <m:rPr>
            <m:sty m:val="p"/>
          </m:rPr>
          <m:t>94</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p>
    <w:p>
      <w:pPr>
        <w:numPr>
          <w:ilvl w:val="0"/>
          <w:numId w:val="28"/>
        </w:numPr>
        <w:spacing w:lineRule="auto"/>
      </w:pPr>
      <w:r>
        <w:rPr/>
        <w:t xml:space="preserve">Constante de Faraday : </w:t>
      </w:r>
      <m:oMath>
        <m:r>
          <m:rPr>
            <m:sty m:val="i"/>
          </m:rPr>
          <m:t>F</m:t>
        </m:r>
        <m:r>
          <m:rPr>
            <m:sty m:val="p"/>
          </m:rPr>
          <m:t>=</m:t>
        </m:r>
        <m:r>
          <m:rPr>
            <m:sty m:val="p"/>
          </m:rPr>
          <m:t>9</m:t>
        </m:r>
        <m:r>
          <m:rPr>
            <m:sty m:val="p"/>
          </m:rPr>
          <m:t>,</m:t>
        </m:r>
        <m:r>
          <m:rPr>
            <m:sty m:val="p"/>
          </m:rPr>
          <m:t>6</m:t>
        </m:r>
        <m:r>
          <m:rPr>
            <m:sty m:val="p"/>
          </m:rPr>
          <m:t>×</m:t>
        </m:r>
        <m:sSup>
          <m:sSupPr/>
          <m:e>
            <m:r>
              <m:rPr>
                <m:sty m:val="p"/>
              </m:rPr>
              <m:t>10</m:t>
            </m:r>
          </m:e>
          <m:sup>
            <m:r>
              <m:rPr>
                <m:sty m:val="p"/>
              </m:rPr>
              <m:t>4</m:t>
            </m:r>
          </m:sup>
        </m:sSup>
        <m:r>
          <m:rPr>
            <m:sty m:val="p"/>
          </m:rPr>
          <m:t>C</m:t>
        </m:r>
        <m:r>
          <m:rPr>
            <m:sty m:val="p"/>
          </m:rPr>
          <m:t>⋅</m:t>
        </m:r>
        <m:sSup>
          <m:sSupPr/>
          <m:e>
            <m:r>
              <m:rPr>
                <m:sty m:val="p"/>
              </m:rPr>
              <m:t>mol</m:t>
            </m:r>
          </m:e>
          <m:sup>
            <m:r>
              <m:rPr>
                <m:sty m:val="p"/>
              </m:rPr>
              <m:t>−</m:t>
            </m:r>
            <m:r>
              <m:rPr>
                <m:sty m:val="p"/>
              </m:rPr>
              <m:t>1</m:t>
            </m:r>
          </m:sup>
        </m:sSup>
      </m:oMath>
    </w:p>
    <w:p>
      <w:pPr>
        <w:numPr>
          <w:ilvl w:val="0"/>
          <w:numId w:val="28"/>
        </w:numPr>
        <w:spacing w:lineRule="auto"/>
      </w:pPr>
      <w:r>
        <w:rPr>
          <w:rFonts w:eastAsia="Georgia" w:cs="Georgia" w:ascii="Georgia" w:hAnsi="Georgia"/>
        </w:rPr>
        <w:t xml:space="preserve">Les données spectroscopiques indiquées pour la RMN </w:t>
      </w:r>
      <m:oMath>
        <m:sSup>
          <m:sSupPr/>
          <m:e>
            <m:r>
              <m:t xml:space="preserve"> </m:t>
            </m:r>
          </m:e>
          <m:sup>
            <m:r>
              <m:rPr>
                <m:sty m:val="p"/>
              </m:rPr>
              <m:t>1</m:t>
            </m:r>
          </m:sup>
        </m:sSup>
        <m:r>
          <m:rPr>
            <m:sty m:val="p"/>
          </m:rPr>
          <m:t>H</m:t>
        </m:r>
      </m:oMath>
      <w:r>
        <w:rPr>
          <w:rFonts w:eastAsia="Georgia" w:cs="Georgia" w:ascii="Georgia" w:hAnsi="Georgia"/>
        </w:rPr>
        <w:t xml:space="preserve"> correspondent aux déplacements chimiques </w:t>
      </w:r>
      <m:oMath>
        <m:r>
          <m:rPr>
            <m:sty m:val="i"/>
          </m:rPr>
          <m:t>δ</m:t>
        </m:r>
      </m:oMath>
      <w:r>
        <w:rPr>
          <w:rFonts w:eastAsia="Georgia" w:cs="Georgia" w:ascii="Georgia" w:hAnsi="Georgia"/>
        </w:rPr>
        <w:t xml:space="preserve"> en ppm. Les déplacements sont des déplacements moyens donnés à titre indicatif et peuvent varier selon les molécules.</w:t>
      </w:r>
    </w:p>
    <w:p>
      <w:pPr>
        <w:spacing w:after="220" w:lineRule="auto"/>
      </w:pPr>
      <w:r>
        <w:rPr>
          <w:rFonts w:eastAsia="Georgia" w:cs="Georgia" w:ascii="Georgia" w:hAnsi="Georgia"/>
        </w:rPr>
        <w:t xml:space="preserve">415 Légende : Ar </w:t>
      </w:r>
      <m:oMath>
        <m:r>
          <m:rPr>
            <m:sty m:val="p"/>
          </m:rPr>
          <m:t>=</m:t>
        </m:r>
      </m:oMath>
      <w:r>
        <w:rPr/>
        <w:t xml:space="preserve"> aromatique.</w:t>
      </w:r>
      <w:r>
        <w:rPr/>
        <w:br w:type="textWrapping"/>
      </w:r>
    </w:p>
    <w:p>
      <w:pPr>
        <w:spacing w:lineRule="auto"/>
        <w:jc w:val="center"/>
      </w:pPr>
      <w:r>
        <w:rPr/>
        <w:drawing>
          <wp:inline distB="0" distL="0" distR="0" distT="0">
            <wp:extent cx="2581275" cy="18659475"/>
            <wp:effectExtent b="0" l="0" r="0" t="0"/>
            <wp:docPr id="20" name="image-34547ae7131042c136eb9899ce3e16fad35beb6c.jpg"/>
            <a:graphic>
              <a:graphicData uri="http://schemas.openxmlformats.org/drawingml/2006/picture">
                <pic:pic>
                  <pic:nvPicPr>
                    <pic:cNvPr id="20" name="image-34547ae7131042c136eb9899ce3e16fad35beb6c.jpg" descr=""/>
                    <pic:cNvPicPr/>
                  </pic:nvPicPr>
                  <pic:blipFill>
                    <a:blip r:embed="rId24" cstate="print"/>
                    <a:srcRect b="0" l="0" r="0" t="0"/>
                    <a:stretch>
                      <a:fillRect/>
                    </a:stretch>
                  </pic:blipFill>
                  <pic:spPr>
                    <a:xfrm>
                      <a:off x="0" y="0"/>
                      <a:ext cx="2581275" cy="18659475"/>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7893901"/>
            <wp:effectExtent b="0" l="0" r="0" t="0"/>
            <wp:docPr id="21" name="image-74d74d7f7dab79f09af264f463b88a61455c80a4.jpg"/>
            <a:graphic>
              <a:graphicData uri="http://schemas.openxmlformats.org/drawingml/2006/picture">
                <pic:pic>
                  <pic:nvPicPr>
                    <pic:cNvPr id="21" name="image-74d74d7f7dab79f09af264f463b88a61455c80a4.jpg" descr=""/>
                    <pic:cNvPicPr/>
                  </pic:nvPicPr>
                  <pic:blipFill>
                    <a:blip r:embed="rId25" cstate="print"/>
                    <a:srcRect b="0" l="0" r="0" t="0"/>
                    <a:stretch>
                      <a:fillRect/>
                    </a:stretch>
                  </pic:blipFill>
                  <pic:spPr>
                    <a:xfrm>
                      <a:off x="0" y="0"/>
                      <a:ext cx="5486400" cy="7893901"/>
                    </a:xfrm>
                    <a:prstGeom prst="rect"/>
                  </pic:spPr>
                </pic:pic>
              </a:graphicData>
            </a:graphic>
          </wp:inline>
        </w:drawing>
      </w:r>
    </w:p>
    <w:p>
      <w:pPr>
        <w:spacing w:lineRule="auto"/>
      </w:pPr>
      <w:r>
        <w:rPr>
          <w:noProof/>
        </w:rPr>
        <w:pict>
          <v:rect alt="" style="width:432pt;height:.05pt;mso-width-percent:0;mso-height-percent:0;mso-width-percent:0;mso-height-percent:0" o:hralign="center" o:hrstd="t" o:hr="t"/>
        </w:pict>
      </w:r>
    </w:p>
    <w:p>
      <w:pPr>
        <w:numPr>
          <w:ilvl w:val="1"/>
          <w:numId w:val="29"/>
        </w:numPr>
        <w:spacing w:lineRule="auto"/>
      </w:pPr>
      <w:r>
        <w:rPr>
          <w:rFonts w:eastAsia="Georgia" w:cs="Georgia" w:ascii="Georgia" w:hAnsi="Georgia"/>
        </w:rPr>
        <w:t xml:space="preserve">Bien que, à proprement parler, ce ne soit pas une véritable fonction.</w:t>
      </w:r>
    </w:p>
    <w:p>
      <w:pPr>
        <w:numPr>
          <w:ilvl w:val="1"/>
          <w:numId w:val="29"/>
        </w:numPr>
        <w:spacing w:lineRule="auto"/>
      </w:pPr>
      <w:r>
        <w:rPr>
          <w:rFonts w:eastAsia="Georgia" w:cs="Georgia" w:ascii="Georgia" w:hAnsi="Georgia"/>
        </w:rPr>
        <w:t xml:space="preserve">Pour définir une fréquence, dans son sens strict, il faudrait observer le phénomène depuis l'élément (3).</w:t>
      </w:r>
    </w:p>
    <w:p>
      <w:pPr>
        <w:numPr>
          <w:ilvl w:val="1"/>
          <w:numId w:val="29"/>
        </w:numPr>
        <w:spacing w:lineRule="auto"/>
      </w:pPr>
      <w:r>
        <w:rPr>
          <w:rFonts w:eastAsia="Georgia" w:cs="Georgia" w:ascii="Georgia" w:hAnsi="Georgia"/>
        </w:rPr>
        <w:t xml:space="preserve">Dans la mesure où nous ne décrivons que le premier mode de vibration.</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decimal"/>
      <w:lvlText w:val="%1."/>
      <w:lvlJc w:val="left"/>
      <w:pPr>
        <w:tabs>
          <w:tab w:val="num" w:pos="1080"/>
        </w:tabs>
        <w:ind w:left="720" w:hanging="360"/>
      </w:p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4"/>
      <w:numFmt w:val="decimal"/>
      <w:lvlText w:val="%1."/>
      <w:lvlJc w:val="left"/>
      <w:pPr>
        <w:tabs>
          <w:tab w:val="num" w:pos="1080"/>
        </w:tabs>
        <w:ind w:left="720" w:hanging="360"/>
      </w:p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9"/>
      <w:numFmt w:val="decimal"/>
      <w:lvlText w:val="%1."/>
      <w:lvlJc w:val="left"/>
      <w:pPr>
        <w:tabs>
          <w:tab w:val="num" w:pos="1080"/>
        </w:tabs>
        <w:ind w:left="720" w:hanging="360"/>
      </w:p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1"/>
      <w:numFmt w:val="decimal"/>
      <w:lvlText w:val="%1."/>
      <w:lvlJc w:val="left"/>
      <w:pPr>
        <w:tabs>
          <w:tab w:val="num" w:pos="1080"/>
        </w:tabs>
        <w:ind w:left="720" w:hanging="360"/>
      </w:p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5">
    <w:multiLevelType w:val="hybridMultilevel"/>
    <w:lvl w:ilvl="0">
      <w:start w:val="20"/>
      <w:numFmt w:val="decimal"/>
      <w:lvlText w:val="%1."/>
      <w:lvlJc w:val="left"/>
      <w:pPr>
        <w:tabs>
          <w:tab w:val="num" w:pos="1080"/>
        </w:tabs>
        <w:ind w:left="720" w:hanging="360"/>
      </w:pPr>
    </w:lvl>
  </w:abstractNum>
  <w:abstractNum w:abstractNumId="1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7">
    <w:multiLevelType w:val="hybridMultilevel"/>
    <w:lvl w:ilvl="0">
      <w:start w:val="26"/>
      <w:numFmt w:val="decimal"/>
      <w:lvlText w:val="%1."/>
      <w:lvlJc w:val="left"/>
      <w:pPr>
        <w:tabs>
          <w:tab w:val="num" w:pos="1080"/>
        </w:tabs>
        <w:ind w:left="720" w:hanging="360"/>
      </w:pPr>
    </w:lvl>
  </w:abstractNum>
  <w:abstractNum w:abstractNumId="18">
    <w:multiLevelType w:val="hybridMultilevel"/>
    <w:lvl w:ilvl="0">
      <w:start w:val="1"/>
      <w:numFmt w:val="decimal"/>
      <w:lvlText w:val="%1."/>
      <w:lvlJc w:val="left"/>
      <w:pPr>
        <w:tabs>
          <w:tab w:val="num" w:pos="1080"/>
        </w:tabs>
        <w:ind w:left="720" w:hanging="360"/>
      </w:pPr>
    </w:lvl>
  </w:abstractNum>
  <w:abstractNum w:abstractNumId="19">
    <w:multiLevelType w:val="hybridMultilevel"/>
    <w:lvl w:ilvl="0">
      <w:start w:val="9"/>
      <w:numFmt w:val="decimal"/>
      <w:lvlText w:val="%1."/>
      <w:lvlJc w:val="left"/>
      <w:pPr>
        <w:tabs>
          <w:tab w:val="num" w:pos="1080"/>
        </w:tabs>
        <w:ind w:left="720" w:hanging="360"/>
      </w:pPr>
    </w:lvl>
  </w:abstractNum>
  <w:abstractNum w:abstractNumId="20">
    <w:multiLevelType w:val="hybridMultilevel"/>
    <w:lvl w:ilvl="0">
      <w:start w:val="13"/>
      <w:numFmt w:val="decimal"/>
      <w:lvlText w:val="%1."/>
      <w:lvlJc w:val="left"/>
      <w:pPr>
        <w:tabs>
          <w:tab w:val="num" w:pos="1080"/>
        </w:tabs>
        <w:ind w:left="720" w:hanging="360"/>
      </w:pPr>
    </w:lvl>
  </w:abstractNum>
  <w:abstractNum w:abstractNumId="21">
    <w:multiLevelType w:val="hybridMultilevel"/>
    <w:lvl w:ilvl="0">
      <w:start w:val="18"/>
      <w:numFmt w:val="decimal"/>
      <w:lvlText w:val="%1."/>
      <w:lvlJc w:val="left"/>
      <w:pPr>
        <w:tabs>
          <w:tab w:val="num" w:pos="1080"/>
        </w:tabs>
        <w:ind w:left="720" w:hanging="360"/>
      </w:pPr>
    </w:lvl>
  </w:abstractNum>
  <w:abstractNum w:abstractNumId="22">
    <w:multiLevelType w:val="hybridMultilevel"/>
    <w:lvl w:ilvl="0">
      <w:start w:val="19"/>
      <w:numFmt w:val="decimal"/>
      <w:lvlText w:val="%1."/>
      <w:lvlJc w:val="left"/>
      <w:pPr>
        <w:tabs>
          <w:tab w:val="num" w:pos="1080"/>
        </w:tabs>
        <w:ind w:left="720" w:hanging="360"/>
      </w:pPr>
    </w:lvl>
  </w:abstractNum>
  <w:abstractNum w:abstractNumId="23">
    <w:multiLevelType w:val="hybridMultilevel"/>
    <w:lvl w:ilvl="0">
      <w:start w:val="21"/>
      <w:numFmt w:val="decimal"/>
      <w:lvlText w:val="%1."/>
      <w:lvlJc w:val="left"/>
      <w:pPr>
        <w:tabs>
          <w:tab w:val="num" w:pos="1080"/>
        </w:tabs>
        <w:ind w:left="720" w:hanging="360"/>
      </w:pPr>
    </w:lvl>
  </w:abstractNum>
  <w:abstractNum w:abstractNumId="24">
    <w:multiLevelType w:val="hybridMultilevel"/>
    <w:lvl w:ilvl="0">
      <w:start w:val="22"/>
      <w:numFmt w:val="decimal"/>
      <w:lvlText w:val="%1."/>
      <w:lvlJc w:val="left"/>
      <w:pPr>
        <w:tabs>
          <w:tab w:val="num" w:pos="1080"/>
        </w:tabs>
        <w:ind w:left="720" w:hanging="360"/>
      </w:pPr>
    </w:lvl>
  </w:abstractNum>
  <w:abstractNum w:abstractNumId="25">
    <w:multiLevelType w:val="hybridMultilevel"/>
    <w:lvl w:ilvl="0">
      <w:start w:val="24"/>
      <w:numFmt w:val="decimal"/>
      <w:lvlText w:val="%1."/>
      <w:lvlJc w:val="left"/>
      <w:pPr>
        <w:tabs>
          <w:tab w:val="num" w:pos="1080"/>
        </w:tabs>
        <w:ind w:left="720" w:hanging="360"/>
      </w:pPr>
    </w:lvl>
  </w:abstractNum>
  <w:abstractNum w:abstractNumId="26">
    <w:multiLevelType w:val="hybridMultilevel"/>
    <w:lvl w:ilvl="0">
      <w:start w:val="25"/>
      <w:numFmt w:val="decimal"/>
      <w:lvlText w:val="%1."/>
      <w:lvlJc w:val="left"/>
      <w:pPr>
        <w:tabs>
          <w:tab w:val="num" w:pos="1080"/>
        </w:tabs>
        <w:ind w:left="720" w:hanging="360"/>
      </w:pPr>
    </w:lvl>
  </w:abstractNum>
  <w:abstractNum w:abstractNumId="27">
    <w:multiLevelType w:val="hybridMultilevel"/>
    <w:lvl w:ilvl="0">
      <w:start w:val="31"/>
      <w:numFmt w:val="decimal"/>
      <w:lvlText w:val="%1."/>
      <w:lvlJc w:val="left"/>
      <w:pPr>
        <w:tabs>
          <w:tab w:val="num" w:pos="1080"/>
        </w:tabs>
        <w:ind w:left="720" w:hanging="360"/>
      </w:pPr>
    </w:lvl>
  </w:abstractNum>
  <w:abstractNum w:abstractNumId="2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9">
    <w:multiLevelType w:val="hybridMultilevel"/>
    <w:lvl w:ilvl="1">
      <w:start w:val="1"/>
      <w:numFmt w:val="lowerLetter"/>
      <w:lvlText w:val="%2."/>
      <w:lvlJc w:val="left"/>
      <w:pPr>
        <w:tabs>
          <w:tab w:val="num" w:pos="1200"/>
        </w:tabs>
        <w:ind w:left="84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3e325ab0dcd03e0f3a7a8bec15ee46cf8aab3d5e.jpg" TargetMode="Internal"/><Relationship Id="rId6" Type="http://schemas.openxmlformats.org/officeDocument/2006/relationships/image" Target="media/image-434e4ae5d854c282bc16566fc3b34cdc3c74d281.jpg" TargetMode="Internal"/><Relationship Id="rId7" Type="http://schemas.openxmlformats.org/officeDocument/2006/relationships/image" Target="media/image-7b9d62039a02cd31bd6e7a39a11e7d390fa7c114.jpg" TargetMode="Internal"/><Relationship Id="rId8" Type="http://schemas.openxmlformats.org/officeDocument/2006/relationships/image" Target="media/image-eaf4460ab1e8e545ebd2fb3b120fe94ab5642d88.jpg" TargetMode="Internal"/><Relationship Id="rId9" Type="http://schemas.openxmlformats.org/officeDocument/2006/relationships/image" Target="media/image-7829981f2c19c36a534f11939738050035c16259.jpg" TargetMode="Internal"/><Relationship Id="rId10" Type="http://schemas.openxmlformats.org/officeDocument/2006/relationships/image" Target="media/image-08a876a3da3a86babc9f3990fb18cea066e1726c.jpg" TargetMode="Internal"/><Relationship Id="rId11" Type="http://schemas.openxmlformats.org/officeDocument/2006/relationships/image" Target="media/image-527c3b9bd6674be028e9d43891cea34f6148d283.jpg" TargetMode="Internal"/><Relationship Id="rId12" Type="http://schemas.openxmlformats.org/officeDocument/2006/relationships/image" Target="media/image-1e15e08d1d8068f9fdad83d2943e105d0dbcc143.jpg" TargetMode="Internal"/><Relationship Id="rId13" Type="http://schemas.openxmlformats.org/officeDocument/2006/relationships/image" Target="media/image-05d1607ce0983f0956ea7f8b1640e4a2cd6c55bc.jpg" TargetMode="Internal"/><Relationship Id="rId14" Type="http://schemas.openxmlformats.org/officeDocument/2006/relationships/image" Target="media/image-d88c183c7fb6811ae73e5d3a168dd2334ae1d62f.jpg" TargetMode="Internal"/><Relationship Id="rId15" Type="http://schemas.openxmlformats.org/officeDocument/2006/relationships/image" Target="media/image-c61253c1a0c0d510d01205c8c47c8c2fa6765604.jpg" TargetMode="Internal"/><Relationship Id="rId16" Type="http://schemas.openxmlformats.org/officeDocument/2006/relationships/image" Target="media/image-e615e2f862e3a7160949764d8d6bfb2f0db2f25e.jpg" TargetMode="Internal"/><Relationship Id="rId17" Type="http://schemas.openxmlformats.org/officeDocument/2006/relationships/image" Target="media/image-dac2fa6de2e7f2b87844f3063b55295ca70161f8.jpg" TargetMode="Internal"/><Relationship Id="rId18" Type="http://schemas.openxmlformats.org/officeDocument/2006/relationships/image" Target="media/image-831c9d869666f5c85a2fce04fdd978b705a0d45e.jpg" TargetMode="Internal"/><Relationship Id="rId19" Type="http://schemas.openxmlformats.org/officeDocument/2006/relationships/image" Target="media/image-f8bc5dfeedb54f1724ef4db94357ef224fec15f2.jpg" TargetMode="Internal"/><Relationship Id="rId20" Type="http://schemas.openxmlformats.org/officeDocument/2006/relationships/image" Target="media/image-9bbd8696e0d7588cd13905adc41b62954537228d.jpg" TargetMode="Internal"/><Relationship Id="rId21" Type="http://schemas.openxmlformats.org/officeDocument/2006/relationships/image" Target="media/image-605bd801fd57bd8a5cc2cacd59faba23c8effd12.jpg" TargetMode="Internal"/><Relationship Id="rId22" Type="http://schemas.openxmlformats.org/officeDocument/2006/relationships/image" Target="media/image-895deec8bdec48e615f0d9ae5544822285afa4f7.jpg" TargetMode="Internal"/><Relationship Id="rId23" Type="http://schemas.openxmlformats.org/officeDocument/2006/relationships/image" Target="media/image-20e177c70d67cbca9e181752b448ae12e8556477.jpg" TargetMode="Internal"/><Relationship Id="rId24" Type="http://schemas.openxmlformats.org/officeDocument/2006/relationships/image" Target="media/image-34547ae7131042c136eb9899ce3e16fad35beb6c.jpg" TargetMode="Internal"/><Relationship Id="rId25" Type="http://schemas.openxmlformats.org/officeDocument/2006/relationships/image" Target="media/image-74d74d7f7dab79f09af264f463b88a61455c80a4.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2025-09-04T17:56:17.874Z</dcterms:created>
  <dcterms:modified xsi:type="dcterms:W3CDTF">2025-09-04T17:56:17.874Z</dcterms:modified>
</cp:coreProperties>
</file>