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71" w:before="330" w:lineRule="auto"/>
      </w:pPr>
      <w:r>
        <w:rPr>
          <w:rFonts w:eastAsia="Georgia" w:cs="Georgia" w:ascii="Georgia" w:hAnsi="Georgia"/>
          <w:b/>
          <w:sz w:val="42"/>
        </w:rPr>
        <w:t xml:space="preserve">ÉCOLE NORMALE SUPÉRIEURE DE LYON CONCOURS D'ADMISSION 2019</w:t>
      </w:r>
    </w:p>
    <w:p>
      <w:pPr>
        <w:spacing w:line="271" w:before="330" w:lineRule="auto"/>
      </w:pPr>
      <w:r>
        <w:rPr>
          <w:rFonts w:eastAsia="Georgia" w:cs="Georgia" w:ascii="Georgia" w:hAnsi="Georgia"/>
          <w:b/>
          <w:sz w:val="42"/>
        </w:rPr>
        <w:t xml:space="preserve">JEUDI 25 AVRIL 2019-08h00-13h00 FILIÈRE PC - Épreuve </w:t>
      </w:r>
      <m:oMath>
        <m:sSup>
          <m:sSupPr>
            <m:ctrlPr>
              <w:rPr>
                <w:rFonts w:ascii="Cambria Math" w:hAnsi="Cambria Math"/>
                <w:sz w:val="42"/>
              </w:rPr>
            </m:ctrlPr>
          </m:sSupPr>
          <m:e>
            <m:r>
              <m:rPr>
                <m:sty m:val="b"/>
              </m:rPr>
              <w:rPr>
                <w:sz w:val="42"/>
              </w:rPr>
              <m:t>n</m:t>
            </m:r>
          </m:e>
          <m:sup>
            <m:r>
              <m:rPr>
                <m:sty m:val="p"/>
              </m:rPr>
              <w:rPr>
                <w:sz w:val="42"/>
              </w:rPr>
              <m:t>∘</m:t>
            </m:r>
          </m:sup>
        </m:sSup>
        <m:r>
          <m:rPr>
            <m:sty m:val="b"/>
          </m:rPr>
          <w:rPr>
            <w:sz w:val="42"/>
          </w:rPr>
          <m:t>9</m:t>
        </m:r>
      </m:oMath>
    </w:p>
    <w:p>
      <w:pPr>
        <w:spacing w:line="288" w:after="220" w:lineRule="auto"/>
        <w:jc w:val="center"/>
      </w:pPr>
      <w:r>
        <w:rPr>
          <w:b/>
          <w:sz w:val="56"/>
        </w:rPr>
        <w:t xml:space="preserve">COMPOSITION DE PHYSIQUE-CHIMIE</w:t>
      </w:r>
      <w:r>
        <w:rPr>
          <w:b/>
          <w:sz w:val="56"/>
        </w:rPr>
        <w:br w:type="textWrapping"/>
      </w:r>
      <w:r>
        <w:rPr>
          <w:b/>
          <w:sz w:val="56"/>
        </w:rPr>
        <w:t xml:space="preserve"> (L)</w:t>
      </w:r>
    </w:p>
    <w:p>
      <w:pPr>
        <w:spacing w:after="220" w:lineRule="auto"/>
      </w:pPr>
      <w:r>
        <w:rPr>
          <w:rFonts w:eastAsia="Georgia" w:cs="Georgia" w:ascii="Georgia" w:hAnsi="Georgia"/>
        </w:rPr>
        <w:t xml:space="preserve">Durée : 5 heures</w:t>
      </w:r>
    </w:p>
    <w:p>
      <w:pPr>
        <w:spacing w:after="220" w:lineRule="auto"/>
      </w:pPr>
      <w:r>
        <w:rPr>
          <w:rFonts w:eastAsia="Georgia" w:cs="Georgia" w:ascii="Georgia" w:hAnsi="Georgia"/>
        </w:rPr>
        <w:t xml:space="preserve">L'utilisation des calculatrices n'est pas autorisée pour cette épreuve.</w:t>
      </w:r>
    </w:p>
    <w:p>
      <w:pPr>
        <w:spacing w:after="220" w:lineRule="auto"/>
      </w:pPr>
      <w:r>
        <w:rPr>
          <w:rFonts w:eastAsia="Georgia" w:cs="Georgia" w:ascii="Georgia" w:hAnsi="Georgia"/>
        </w:rPr>
        <w:t xml:space="preserve">Cette épreuve comprend deux parties indépendantes. La première, dédiée à la physique, étudie la réponse d'un pendule simple à une excitation paramétrique, c'est-à-dire agissant sur l'un des paramètres de ce système mécanique. La seconde se rapporte à la chimie et s'intéresse à la stabilité des composés du chlore. Il est conseillé de ne pas consacrer plus de deux heures et trente minutes par partie.</w:t>
      </w:r>
    </w:p>
    <w:p>
      <w:pPr>
        <w:spacing w:line="271" w:before="330" w:lineRule="auto"/>
      </w:pPr>
      <w:r>
        <w:rPr>
          <w:b/>
          <w:sz w:val="42"/>
        </w:rPr>
        <w:t xml:space="preserve">Partie Physique</w:t>
      </w:r>
      <w:r>
        <w:rPr>
          <w:b/>
          <w:sz w:val="42"/>
        </w:rPr>
        <w:br w:type="textWrapping"/>
      </w:r>
      <w:r>
        <w:rPr>
          <w:rFonts w:eastAsia="Georgia" w:cs="Georgia" w:ascii="Georgia" w:hAnsi="Georgia"/>
          <w:b/>
          <w:sz w:val="42"/>
        </w:rPr>
        <w:t xml:space="preserve"> Excitation paramétrique et stabilisation dynamique d'un pendule</w:t>
      </w:r>
    </w:p>
    <w:p>
      <w:pPr>
        <w:spacing w:after="220" w:lineRule="auto"/>
      </w:pPr>
      <w:r>
        <w:rPr>
          <w:rFonts w:eastAsia="Georgia" w:cs="Georgia" w:ascii="Georgia" w:hAnsi="Georgia"/>
        </w:rPr>
        <w:t xml:space="preserve">Nous nous proposons d'étudier la réponse d'un pendule simple dont le point auquel il est suspendu est mis en mouvement oscillant verticalement.</w:t>
      </w:r>
    </w:p>
    <w:p>
      <w:pPr>
        <w:spacing w:after="220" w:lineRule="auto"/>
      </w:pPr>
      <w:r>
        <w:rPr>
          <w:rFonts w:eastAsia="Georgia" w:cs="Georgia" w:ascii="Georgia" w:hAnsi="Georgia"/>
        </w:rPr>
        <w:t xml:space="preserve">Nous considérons un pendule (2) constitué d'une masse </w:t>
      </w:r>
      <m:oMath>
        <m:r>
          <m:rPr>
            <m:sty m:val="i"/>
          </m:rPr>
          <m:t>m</m:t>
        </m:r>
      </m:oMath>
      <w:r>
        <w:rPr>
          <w:rFonts w:eastAsia="Georgia" w:cs="Georgia" w:ascii="Georgia" w:hAnsi="Georgia"/>
        </w:rPr>
        <w:t xml:space="preserve"> fixée à une extrémité </w:t>
      </w:r>
      <m:oMath>
        <m:r>
          <m:rPr>
            <m:sty m:val="i"/>
          </m:rPr>
          <m:t>M</m:t>
        </m:r>
      </m:oMath>
      <w:r>
        <w:rPr/>
        <w:t xml:space="preserve"> d'une tige rigide, de longueur </w:t>
      </w:r>
      <m:oMath>
        <m:r>
          <m:rPr>
            <m:sty m:val="i"/>
          </m:rPr>
          <m:t>ℓ</m:t>
        </m:r>
      </m:oMath>
      <w:r>
        <w:rPr>
          <w:rFonts w:eastAsia="Georgia" w:cs="Georgia" w:ascii="Georgia" w:hAnsi="Georgia"/>
        </w:rPr>
        <w:t xml:space="preserve">, en rotation autour d'un point pivot A (se reporter à la figure (1)). Par une action extérieure, l'élément (1) auquel le pendule est suspendu, peut être mis en mouvement vertical, par rapport au support (0). Ce système mécanique est soumis au champ de pesanteur </w:t>
      </w:r>
      <m:oMath>
        <m:acc>
          <m:accPr>
            <m:chr m:val="⃗"/>
          </m:accPr>
          <m:e>
            <m:r>
              <m:rPr>
                <m:sty m:val="i"/>
              </m:rPr>
              <m:t>g</m:t>
            </m:r>
          </m:e>
        </m:acc>
        <m:r>
          <m:rPr>
            <m:sty m:val="p"/>
          </m:rPr>
          <m:t>=</m:t>
        </m:r>
        <m:r>
          <m:rPr>
            <m:sty m:val="i"/>
          </m:rPr>
          <m:t>g</m:t>
        </m:r>
        <m:sSub>
          <m:sSubPr/>
          <m:e>
            <m:acc>
              <m:accPr>
                <m:chr m:val="⃗"/>
              </m:accPr>
              <m:e>
                <m:r>
                  <m:rPr>
                    <m:sty m:val="i"/>
                  </m:rPr>
                  <m:t>u</m:t>
                </m:r>
              </m:e>
            </m:acc>
          </m:e>
          <m:sub>
            <m:r>
              <m:rPr>
                <m:sty m:val="i"/>
              </m:rPr>
              <m:t>z</m:t>
            </m:r>
          </m:sub>
        </m:sSub>
      </m:oMath>
      <w:r>
        <w:rPr/>
        <w:t xml:space="preserve">. Nous notons </w:t>
      </w:r>
      <m:oMath>
        <m:r>
          <m:rPr>
            <m:sty m:val="i"/>
          </m:rPr>
          <m:t>θ</m:t>
        </m:r>
      </m:oMath>
      <w:r>
        <w:rPr>
          <w:rFonts w:eastAsia="Georgia" w:cs="Georgia" w:ascii="Georgia" w:hAnsi="Georgia"/>
        </w:rPr>
        <w:t xml:space="preserve"> l'angle repérant angulairement ce pendule. Le référentiel d'observation </w:t>
      </w:r>
      <m:oMath>
        <m:sSub>
          <m:sSubPr/>
          <m:e>
            <m:r>
              <m:rPr>
                <m:scr m:val="script"/>
              </m:rPr>
              <m:t>R</m:t>
            </m:r>
          </m:e>
          <m:sub>
            <m:r>
              <m:rPr>
                <m:sty m:val="p"/>
              </m:rPr>
              <m:t>0</m:t>
            </m:r>
          </m:sub>
        </m:sSub>
        <m:d>
          <m:dPr>
            <m:begChr m:val="("/>
            <m:endChr m:val=")"/>
            <m:ctrlPr>
              <w:rPr>
                <w:rFonts w:ascii="Cambria Math" w:hAnsi="Cambria Math"/>
              </w:rPr>
            </m:ctrlPr>
          </m:dPr>
          <m:e>
            <m:r>
              <m:rPr>
                <m:sty m:val="p"/>
              </m:rPr>
              <m:t>O</m:t>
            </m:r>
            <m:r>
              <m:rPr>
                <m:sty m:val="p"/>
              </m:rPr>
              <m:t>,</m:t>
            </m:r>
            <m:sSub>
              <m:sSubPr/>
              <m:e>
                <m:acc>
                  <m:accPr>
                    <m:chr m:val="⃗"/>
                  </m:accPr>
                  <m:e>
                    <m:r>
                      <m:rPr>
                        <m:sty m:val="i"/>
                      </m:rPr>
                      <m:t>u</m:t>
                    </m:r>
                  </m:e>
                </m:acc>
              </m:e>
              <m:sub>
                <m:r>
                  <m:rPr>
                    <m:sty m:val="i"/>
                  </m:rPr>
                  <m:t>z</m:t>
                </m:r>
              </m:sub>
            </m:sSub>
            <m:r>
              <m:rPr>
                <m:sty m:val="p"/>
              </m:rPr>
              <m:t>,</m:t>
            </m:r>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e>
        </m:d>
      </m:oMath>
      <w:r>
        <w:rPr>
          <w:rFonts w:eastAsia="Georgia" w:cs="Georgia" w:ascii="Georgia" w:hAnsi="Georgia"/>
        </w:rPr>
        <w:t xml:space="preserve"> est supposé galiléen. Le repère </w:t>
      </w:r>
      <m:oMath>
        <m:sSub>
          <m:sSubPr/>
          <m:e>
            <m:r>
              <m:rPr>
                <m:scr m:val="script"/>
              </m:rPr>
              <m:t>R</m:t>
            </m:r>
          </m:e>
          <m:sub>
            <m:r>
              <m:rPr>
                <m:sty m:val="p"/>
              </m:rPr>
              <m:t>1</m:t>
            </m:r>
          </m:sub>
        </m:sSub>
        <m:d>
          <m:dPr>
            <m:begChr m:val="("/>
            <m:endChr m:val=")"/>
            <m:ctrlPr>
              <w:rPr>
                <w:rFonts w:ascii="Cambria Math" w:hAnsi="Cambria Math"/>
              </w:rPr>
            </m:ctrlPr>
          </m:dPr>
          <m:e>
            <m:r>
              <m:rPr>
                <m:nor/>
              </m:rPr>
              <m:t xml:space="preserve"> </m:t>
            </m:r>
            <m:r>
              <m:rPr>
                <m:sty m:val="p"/>
              </m:rPr>
              <m:t>A</m:t>
            </m:r>
            <m:r>
              <m:rPr>
                <m:sty m:val="p"/>
              </m:rPr>
              <m:t>,</m:t>
            </m:r>
            <m:sSub>
              <m:sSubPr/>
              <m:e>
                <m:acc>
                  <m:accPr>
                    <m:chr m:val="⃗"/>
                  </m:accPr>
                  <m:e>
                    <m:r>
                      <m:rPr>
                        <m:sty m:val="i"/>
                      </m:rPr>
                      <m:t>u</m:t>
                    </m:r>
                  </m:e>
                </m:acc>
              </m:e>
              <m:sub>
                <m:r>
                  <m:rPr>
                    <m:sty m:val="i"/>
                  </m:rPr>
                  <m:t>z</m:t>
                </m:r>
              </m:sub>
            </m:sSub>
            <m:r>
              <m:rPr>
                <m:sty m:val="p"/>
              </m:rPr>
              <m:t>,</m:t>
            </m:r>
            <m:sSub>
              <m:sSubPr/>
              <m:e>
                <m:acc>
                  <m:accPr>
                    <m:chr m:val="⃗"/>
                  </m:accPr>
                  <m:e>
                    <m:r>
                      <m:rPr>
                        <m:sty m:val="i"/>
                      </m:rPr>
                      <m:t>u</m:t>
                    </m:r>
                  </m:e>
                </m:acc>
              </m:e>
              <m:sub>
                <m:r>
                  <m:rPr>
                    <m:sty m:val="i"/>
                  </m:rPr>
                  <m:t>x</m:t>
                </m:r>
              </m:sub>
            </m:sSub>
            <m:r>
              <m:rPr>
                <m:sty m:val="p"/>
              </m:rPr>
              <m:t>,</m:t>
            </m:r>
            <m:sSub>
              <m:sSubPr/>
              <m:e>
                <m:acc>
                  <m:accPr>
                    <m:chr m:val="⃗"/>
                  </m:accPr>
                  <m:e>
                    <m:r>
                      <m:rPr>
                        <m:sty m:val="i"/>
                      </m:rPr>
                      <m:t>u</m:t>
                    </m:r>
                  </m:e>
                </m:acc>
              </m:e>
              <m:sub>
                <m:r>
                  <m:rPr>
                    <m:sty m:val="i"/>
                  </m:rPr>
                  <m:t>y</m:t>
                </m:r>
              </m:sub>
            </m:sSub>
          </m:e>
        </m:d>
      </m:oMath>
      <w:r>
        <w:rPr>
          <w:rFonts w:eastAsia="Georgia" w:cs="Georgia" w:ascii="Georgia" w:hAnsi="Georgia"/>
        </w:rPr>
        <w:t xml:space="preserve">, solidaire de l'élément (1), est en mouvement de translation selon l'axe ( </w:t>
      </w:r>
      <m:oMath>
        <m:r>
          <m:rPr>
            <m:sty m:val="p"/>
          </m:rPr>
          <m:t>O</m:t>
        </m:r>
        <m:r>
          <m:rPr>
            <m:sty m:val="i"/>
          </m:rPr>
          <m:t>z</m:t>
        </m:r>
      </m:oMath>
      <w:r>
        <w:rPr/>
        <w:t xml:space="preserve"> ) lorsque le pivot A est mis en mouvement. Nous notons </w:t>
      </w:r>
      <m:oMath>
        <m:acc>
          <m:accPr>
            <m:chr m:val="⃗"/>
          </m:accPr>
          <m:e>
            <m:r>
              <m:rPr>
                <m:sty m:val="p"/>
              </m:rPr>
              <m:t>OA</m:t>
            </m:r>
          </m:e>
        </m:acc>
        <m:r>
          <m:rPr>
            <m:sty m:val="p"/>
          </m:rPr>
          <m:t>=</m:t>
        </m:r>
        <m:r>
          <m:rPr>
            <m:sty m:val="i"/>
          </m:rPr>
          <m:t>h</m:t>
        </m:r>
        <m:sSub>
          <m:sSubPr/>
          <m:e>
            <m:acc>
              <m:accPr>
                <m:chr m:val="⃗"/>
              </m:accPr>
              <m:e>
                <m:r>
                  <m:rPr>
                    <m:sty m:val="i"/>
                  </m:rPr>
                  <m:t>u</m:t>
                </m:r>
              </m:e>
            </m:acc>
          </m:e>
          <m:sub>
            <m:r>
              <m:rPr>
                <m:sty m:val="i"/>
              </m:rPr>
              <m:t>z</m:t>
            </m:r>
          </m:sub>
        </m:sSub>
      </m:oMath>
      <w:r>
        <w:rPr/>
        <w:t xml:space="preserve">. Enfin, nous ne prenons en compte aucune cause de dissipation.</w:t>
      </w:r>
    </w:p>
    <w:p>
      <w:pPr>
        <w:spacing w:after="220" w:lineRule="auto"/>
      </w:pPr>
      <w:r>
        <w:rPr>
          <w:rFonts w:eastAsia="Georgia" w:cs="Georgia" w:ascii="Georgia" w:hAnsi="Georgia"/>
        </w:rPr>
        <w:t xml:space="preserve">La première partie de cette étude porte sur l'amplification de l'amplitude des oscillations du pendule autour de l'angle nul. La seconde partie propose une analyse des conditions d'oscillation autour de l'angle </w:t>
      </w:r>
      <m:oMath>
        <m:r>
          <m:rPr>
            <m:sty m:val="i"/>
          </m:rPr>
          <m:t>π</m:t>
        </m:r>
      </m:oMath>
      <w:r>
        <w:rPr>
          <w:rFonts w:eastAsia="Georgia" w:cs="Georgia" w:ascii="Georgia" w:hAnsi="Georgia"/>
        </w:rPr>
        <w:t xml:space="preserve">. Nous ne nous placerons dans la limite des petits angles que lorsque cela sera précisé.</w:t>
      </w:r>
    </w:p>
    <w:p>
      <w:pPr>
        <w:numPr>
          <w:ilvl w:val="0"/>
          <w:numId w:val="1"/>
        </w:numPr>
        <w:spacing w:lineRule="auto"/>
      </w:pPr>
      <w:r>
        <w:rPr>
          <w:rFonts w:eastAsia="Georgia" w:cs="Georgia" w:ascii="Georgia" w:hAnsi="Georgia"/>
        </w:rPr>
        <w:t xml:space="preserve">Données:</w:t>
      </w:r>
    </w:p>
    <w:p>
      <w:pPr>
        <w:numPr>
          <w:ilvl w:val="0"/>
          <w:numId w:val="1"/>
        </w:numPr>
        <w:spacing w:lineRule="auto"/>
      </w:pPr>
      <m:oMathPara>
        <m:oMathParaPr>
          <m:jc m:val="left"/>
        </m:oMathParaPr>
        <m:oMath>
          <m:r>
            <m:rPr>
              <m:sty m:val="i"/>
            </m:rPr>
            <m:t>g</m:t>
          </m:r>
          <m:r>
            <m:rPr>
              <m:sty m:val="p"/>
            </m:rPr>
            <m:t>=</m:t>
          </m:r>
          <m:r>
            <m:rPr>
              <m:sty m:val="p"/>
            </m:rPr>
            <m:t>10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r>
            <m:rPr>
              <m:sty m:val="p"/>
            </m:rPr>
            <m:t>;</m:t>
          </m:r>
          <m:r>
            <m:rPr>
              <m:sty m:val="i"/>
            </m:rPr>
            <m:t>ℓ</m:t>
          </m:r>
          <m:r>
            <m:rPr>
              <m:sty m:val="p"/>
            </m:rPr>
            <m:t>=</m:t>
          </m:r>
          <m:r>
            <m:rPr>
              <m:sty m:val="p"/>
            </m:rPr>
            <m:t>20</m:t>
          </m:r>
          <m:r>
            <m:rPr>
              <m:nor/>
            </m:rPr>
            <m:t xml:space="preserve"> </m:t>
          </m:r>
          <m:r>
            <m:rPr>
              <m:sty m:val="p"/>
            </m:rPr>
            <m:t>cm</m:t>
          </m:r>
        </m:oMath>
      </m:oMathPara>
    </w:p>
    <w:p>
      <w:pPr>
        <w:numPr>
          <w:ilvl w:val="0"/>
          <w:numId w:val="1"/>
        </w:numPr>
        <w:spacing w:lineRule="auto"/>
      </w:pPr>
      <m:oMathPara>
        <m:oMathParaPr>
          <m:jc m:val="left"/>
        </m:oMathParaPr>
        <m:oMath>
          <m:r>
            <m:rPr>
              <m:sty m:val="p"/>
            </m:rPr>
            <m:t>2</m:t>
          </m:r>
          <m:r>
            <m:rPr>
              <m:sty m:val="p"/>
            </m:rPr>
            <m:t>cos</m:t>
          </m:r>
          <m:r>
            <m:rPr>
              <m:sty m:val="p"/>
            </m:rPr>
            <m:t>⁡</m:t>
          </m:r>
          <m:r>
            <m:rPr>
              <m:sty m:val="i"/>
            </m:rPr>
            <m:t>a</m:t>
          </m:r>
          <m:r>
            <m:rPr>
              <m:sty m:val="p"/>
            </m:rPr>
            <m:t>cos</m:t>
          </m:r>
          <m:r>
            <m:rPr>
              <m:sty m:val="p"/>
            </m:rPr>
            <m:t>⁡</m:t>
          </m:r>
          <m:r>
            <m:rPr>
              <m:sty m:val="i"/>
            </m:rPr>
            <m:t>b</m:t>
          </m:r>
          <m:r>
            <m:rPr>
              <m:sty m:val="p"/>
            </m:rPr>
            <m:t>=</m:t>
          </m:r>
          <m:r>
            <m:rPr>
              <m:sty m:val="p"/>
            </m:rPr>
            <m:t>cos</m:t>
          </m:r>
          <m:r>
            <m:rPr>
              <m:sty m:val="p"/>
            </m:rPr>
            <m:t>⁡</m:t>
          </m:r>
          <m:r>
            <m:rPr>
              <m:sty m:val="p"/>
            </m:rPr>
            <m:t>(</m:t>
          </m:r>
          <m:r>
            <m:rPr>
              <m:sty m:val="i"/>
            </m:rPr>
            <m:t>a</m:t>
          </m:r>
          <m:r>
            <m:rPr>
              <m:sty m:val="p"/>
            </m:rPr>
            <m:t>+</m:t>
          </m:r>
          <m:r>
            <m:rPr>
              <m:sty m:val="i"/>
            </m:rPr>
            <m:t>b</m:t>
          </m:r>
          <m:r>
            <m:rPr>
              <m:sty m:val="p"/>
            </m:rPr>
            <m:t>)</m:t>
          </m:r>
          <m:r>
            <m:rPr>
              <m:sty m:val="p"/>
            </m:rPr>
            <m:t>+</m:t>
          </m:r>
          <m:r>
            <m:rPr>
              <m:sty m:val="p"/>
            </m:rPr>
            <m:t>cos</m:t>
          </m:r>
          <m:r>
            <m:rPr>
              <m:sty m:val="p"/>
            </m:rPr>
            <m:t>⁡</m:t>
          </m:r>
          <m:r>
            <m:rPr>
              <m:sty m:val="p"/>
            </m:rPr>
            <m:t>(</m:t>
          </m:r>
          <m:r>
            <m:rPr>
              <m:sty m:val="i"/>
            </m:rPr>
            <m:t>a</m:t>
          </m:r>
          <m:r>
            <m:rPr>
              <m:sty m:val="p"/>
            </m:rPr>
            <m:t>−</m:t>
          </m:r>
          <m:r>
            <m:rPr>
              <m:sty m:val="i"/>
            </m:rPr>
            <m:t>b</m:t>
          </m:r>
          <m:r>
            <m:rPr>
              <m:sty m:val="p"/>
            </m:rPr>
            <m:t>)</m:t>
          </m:r>
        </m:oMath>
      </m:oMathPara>
    </w:p>
    <w:p>
      <w:pPr>
        <w:spacing w:lineRule="auto"/>
        <w:jc w:val="center"/>
      </w:pPr>
      <w:r>
        <w:rPr/>
        <w:drawing>
          <wp:inline distB="0" distL="0" distR="0" distT="0">
            <wp:extent cx="5486400" cy="4837079"/>
            <wp:effectExtent b="0" l="0" r="0" t="0"/>
            <wp:docPr id="1" name="image-24f38d2b14c9209211b7ad061770c2ab530a6a22.jpg"/>
            <a:graphic>
              <a:graphicData uri="http://schemas.openxmlformats.org/drawingml/2006/picture">
                <pic:pic>
                  <pic:nvPicPr>
                    <pic:cNvPr id="1" name="image-24f38d2b14c9209211b7ad061770c2ab530a6a22.jpg" descr=""/>
                    <pic:cNvPicPr/>
                  </pic:nvPicPr>
                  <pic:blipFill>
                    <a:blip r:embed="rId5" cstate="print"/>
                    <a:srcRect b="0" l="0" r="0" t="0"/>
                    <a:stretch>
                      <a:fillRect/>
                    </a:stretch>
                  </pic:blipFill>
                  <pic:spPr>
                    <a:xfrm>
                      <a:off x="0" y="0"/>
                      <a:ext cx="5486400" cy="4837079"/>
                    </a:xfrm>
                    <a:prstGeom prst="rect"/>
                  </pic:spPr>
                </pic:pic>
              </a:graphicData>
            </a:graphic>
          </wp:inline>
        </w:drawing>
      </w:r>
    </w:p>
    <w:p>
      <w:pPr>
        <w:spacing w:lineRule="auto"/>
      </w:pPr>
      <w:r>
        <w:rPr/>
        <w:t xml:space="preserve">Figure 1 - Pendule (2) ( </w:t>
      </w:r>
      <m:oMath>
        <m:r>
          <m:rPr>
            <m:sty m:val="i"/>
          </m:rPr>
          <m:t>m</m:t>
        </m:r>
        <m:r>
          <m:rPr>
            <m:sty m:val="p"/>
          </m:rPr>
          <m:t>,</m:t>
        </m:r>
        <m:r>
          <m:rPr>
            <m:sty m:val="i"/>
          </m:rPr>
          <m:t>ℓ</m:t>
        </m:r>
      </m:oMath>
      <w:r>
        <w:rPr>
          <w:rFonts w:eastAsia="Georgia" w:cs="Georgia" w:ascii="Georgia" w:hAnsi="Georgia"/>
        </w:rPr>
        <w:t xml:space="preserve"> ) oscillant autour du point A . Ce point peut être animé d'un mouvement selon l'axe ( </w:t>
      </w:r>
      <m:oMath>
        <m:r>
          <m:rPr>
            <m:sty m:val="p"/>
          </m:rPr>
          <m:t>O</m:t>
        </m:r>
        <m:r>
          <m:rPr>
            <m:sty m:val="i"/>
          </m:rPr>
          <m:t>z</m:t>
        </m:r>
      </m:oMath>
      <w:r>
        <w:rPr>
          <w:rFonts w:eastAsia="Georgia" w:cs="Georgia" w:ascii="Georgia" w:hAnsi="Georgia"/>
        </w:rPr>
        <w:t xml:space="preserve"> ), relativement au référentiel galiléen d'observation </w:t>
      </w:r>
      <m:oMath>
        <m:sSub>
          <m:sSubPr/>
          <m:e>
            <m:r>
              <m:rPr>
                <m:scr m:val="script"/>
              </m:rPr>
              <m:t>R</m:t>
            </m:r>
          </m:e>
          <m:sub>
            <m:r>
              <m:rPr>
                <m:sty m:val="p"/>
              </m:rPr>
              <m:t>0</m:t>
            </m:r>
          </m:sub>
        </m:sSub>
      </m:oMath>
      <w:r>
        <w:rPr>
          <w:rFonts w:eastAsia="Georgia" w:cs="Georgia" w:ascii="Georgia" w:hAnsi="Georgia"/>
        </w:rPr>
        <w:t xml:space="preserve">, par une action extérieure (action sur le paramètre géométrique </w:t>
      </w:r>
      <m:oMath>
        <m:r>
          <m:rPr>
            <m:sty m:val="i"/>
          </m:rPr>
          <m:t>h</m:t>
        </m:r>
        <m:r>
          <m:rPr>
            <m:sty m:val="p"/>
          </m:rPr>
          <m:t>)</m:t>
        </m:r>
      </m:oMath>
      <w:r>
        <w:rPr/>
        <w:t xml:space="preserve">.</w:t>
      </w:r>
    </w:p>
    <w:p>
      <w:pPr>
        <w:spacing w:line="271" w:before="330" w:lineRule="auto"/>
      </w:pPr>
      <w:r>
        <w:rPr>
          <w:rFonts w:eastAsia="Georgia" w:cs="Georgia" w:ascii="Georgia" w:hAnsi="Georgia"/>
          <w:b/>
          <w:sz w:val="42"/>
        </w:rPr>
        <w:t xml:space="preserve">1 Excitation paramétrique d'un pendule simple.</w:t>
      </w:r>
    </w:p>
    <w:p>
      <w:pPr>
        <w:spacing w:after="220" w:lineRule="auto"/>
      </w:pPr>
      <w:r>
        <w:rPr>
          <w:rFonts w:eastAsia="Georgia" w:cs="Georgia" w:ascii="Georgia" w:hAnsi="Georgia"/>
        </w:rPr>
        <w:t xml:space="preserve">Dans cette partie nous cherchons à déterminer sous quelles conditions il devient possible d'accroître l'amplitude d'oscillation du pendule en agissant périodiquement sur le paramètre géométrique </w:t>
      </w:r>
      <m:oMath>
        <m:r>
          <m:rPr>
            <m:sty m:val="i"/>
          </m:rPr>
          <m:t>h</m:t>
        </m:r>
      </m:oMath>
      <w:r>
        <w:rPr/>
        <w:t xml:space="preserve">.</w:t>
      </w:r>
    </w:p>
    <w:p>
      <w:pPr>
        <w:numPr>
          <w:ilvl w:val="0"/>
          <w:numId w:val="2"/>
        </w:numPr>
        <w:spacing w:lineRule="auto"/>
      </w:pPr>
      <w:r>
        <w:rPr>
          <w:rFonts w:eastAsia="Georgia" w:cs="Georgia" w:ascii="Georgia" w:hAnsi="Georgia"/>
        </w:rPr>
        <w:t xml:space="preserve">Préciser à quelles conditions nous pouvons considérer ce pendule, a priori pesant, comme un pendule simple. Si besoin, on introduira, en les définissant, les paramètres qui apparaîtront nécessaires.</w:t>
      </w:r>
    </w:p>
    <w:p>
      <w:pPr>
        <w:spacing w:after="220" w:lineRule="auto"/>
      </w:pPr>
      <w:r>
        <w:rPr/>
        <w:t xml:space="preserve">Dans toute la suite, nous nous placerons dans ce cadre.</w:t>
      </w:r>
      <w:r>
        <w:rPr/>
        <w:br w:type="textWrapping"/>
      </w:r>
      <w:r>
        <w:rPr>
          <w:rFonts w:eastAsia="Georgia" w:cs="Georgia" w:ascii="Georgia" w:hAnsi="Georgia"/>
        </w:rPr>
        <w:t xml:space="preserve">2. Établir l'équation différentielle vérifiée par la variable </w:t>
      </w:r>
      <m:oMath>
        <m:r>
          <m:rPr>
            <m:sty m:val="i"/>
          </m:rPr>
          <m:t>θ</m:t>
        </m:r>
      </m:oMath>
      <w:r>
        <w:rPr>
          <w:rFonts w:eastAsia="Georgia" w:cs="Georgia" w:ascii="Georgia" w:hAnsi="Georgia"/>
        </w:rPr>
        <w:t xml:space="preserve"> dans la situation où le point </w:t>
      </w:r>
      <m:oMath>
        <m:r>
          <m:rPr>
            <m:sty m:val="i"/>
          </m:rPr>
          <m:t>A</m:t>
        </m:r>
      </m:oMath>
      <w:r>
        <w:rPr>
          <w:rFonts w:eastAsia="Georgia" w:cs="Georgia" w:ascii="Georgia" w:hAnsi="Georgia"/>
        </w:rPr>
        <w:t xml:space="preserve"> est immobile dans le référentiel </w:t>
      </w:r>
      <m:oMath>
        <m:sSub>
          <m:sSubPr/>
          <m:e>
            <m:r>
              <m:rPr>
                <m:scr m:val="script"/>
              </m:rPr>
              <m:t>R</m:t>
            </m:r>
          </m:e>
          <m:sub>
            <m:r>
              <m:rPr>
                <m:sty m:val="p"/>
              </m:rPr>
              <m:t>0</m:t>
            </m:r>
          </m:sub>
        </m:sSub>
      </m:oMath>
      <w:r>
        <w:rPr/>
        <w:t xml:space="preserve">. Nous poserons </w:t>
      </w:r>
      <m:oMath>
        <m:sSub>
          <m:sSubPr/>
          <m:e>
            <m:r>
              <m:rPr>
                <m:sty m:val="i"/>
              </m:rPr>
              <m:t>ω</m:t>
            </m:r>
          </m:e>
          <m:sub>
            <m:r>
              <m:rPr>
                <m:sty m:val="p"/>
              </m:rPr>
              <m:t>0</m:t>
            </m:r>
          </m:sub>
        </m:sSub>
        <m:r>
          <m:rPr>
            <m:sty m:val="p"/>
          </m:rPr>
          <m:t>=</m:t>
        </m:r>
        <m:rad>
          <m:radPr>
            <m:degHide m:val="1"/>
            <m:ctrlPr>
              <w:rPr>
                <w:rFonts w:ascii="Cambria Math" w:hAnsi="Cambria Math"/>
              </w:rPr>
            </m:ctrlPr>
          </m:radPr>
          <m:deg/>
          <m:e>
            <m:r>
              <m:rPr>
                <m:sty m:val="i"/>
              </m:rPr>
              <m:t>g</m:t>
            </m:r>
            <m:r>
              <m:rPr>
                <m:sty m:val="p"/>
              </m:rPr>
              <m:t>/</m:t>
            </m:r>
            <m:r>
              <m:rPr>
                <m:sty m:val="i"/>
              </m:rPr>
              <m:t>ℓ</m:t>
            </m:r>
          </m:e>
        </m:rad>
      </m:oMath>
      <w:r>
        <w:rPr/>
        <w:t xml:space="preserve">.</w:t>
      </w:r>
      <w:r>
        <w:rPr/>
        <w:br w:type="textWrapping"/>
      </w:r>
      <w:r>
        <w:rPr>
          <w:rFonts w:eastAsia="Georgia" w:cs="Georgia" w:ascii="Georgia" w:hAnsi="Georgia"/>
        </w:rPr>
        <w:t xml:space="preserve">3. Calculer la valeur numérique de la période </w:t>
      </w:r>
      <m:oMath>
        <m:sSub>
          <m:sSubPr/>
          <m:e>
            <m:r>
              <m:rPr>
                <m:sty m:val="i"/>
              </m:rPr>
              <m:t>T</m:t>
            </m:r>
          </m:e>
          <m:sub>
            <m:r>
              <m:rPr>
                <m:sty m:val="p"/>
              </m:rPr>
              <m:t>0</m:t>
            </m:r>
          </m:sub>
        </m:sSub>
      </m:oMath>
      <w:r>
        <w:rPr/>
        <w:t xml:space="preserve"> des oscillations dans la limite des petits angles.</w:t>
      </w:r>
      <w:r>
        <w:rPr/>
        <w:br w:type="textWrapping"/>
      </w:r>
      <w:r>
        <w:rPr>
          <w:rFonts w:eastAsia="Georgia" w:cs="Georgia" w:ascii="Georgia" w:hAnsi="Georgia"/>
        </w:rPr>
        <w:t xml:space="preserve">4. Déduire, directement du résultat obtenu à la question (2), l'équation différentielle vérifiée par la variable </w:t>
      </w:r>
      <m:oMath>
        <m:r>
          <m:rPr>
            <m:sty m:val="i"/>
          </m:rPr>
          <m:t>θ</m:t>
        </m:r>
      </m:oMath>
      <w:r>
        <w:rPr>
          <w:rFonts w:eastAsia="Georgia" w:cs="Georgia" w:ascii="Georgia" w:hAnsi="Georgia"/>
        </w:rPr>
        <w:t xml:space="preserve"> dans le cas général où </w:t>
      </w:r>
      <m:oMath>
        <m:r>
          <m:rPr>
            <m:sty m:val="i"/>
          </m:rPr>
          <m:t>h</m:t>
        </m:r>
        <m:r>
          <m:rPr>
            <m:sty m:val="p"/>
          </m:rPr>
          <m:t>=</m:t>
        </m:r>
        <m:r>
          <m:rPr>
            <m:sty m:val="i"/>
          </m:rPr>
          <m:t>h</m:t>
        </m:r>
        <m:r>
          <m:rPr>
            <m:sty m:val="p"/>
          </m:rPr>
          <m:t>(</m:t>
        </m:r>
        <m:r>
          <m:rPr>
            <m:sty m:val="i"/>
          </m:rPr>
          <m:t>t</m:t>
        </m:r>
        <m:r>
          <m:rPr>
            <m:sty m:val="p"/>
          </m:rPr>
          <m:t>)</m:t>
        </m:r>
      </m:oMath>
      <w:r>
        <w:rPr>
          <w:rFonts w:eastAsia="Georgia" w:cs="Georgia" w:ascii="Georgia" w:hAnsi="Georgia"/>
        </w:rPr>
        <w:t xml:space="preserve">. On fera apparaître la pulsation </w:t>
      </w:r>
      <m:oMath>
        <m:sSub>
          <m:sSubPr/>
          <m:e>
            <m:r>
              <m:rPr>
                <m:sty m:val="i"/>
              </m:rPr>
              <m:t>ω</m:t>
            </m:r>
          </m:e>
          <m:sub>
            <m:r>
              <m:rPr>
                <m:sty m:val="p"/>
              </m:rPr>
              <m:t>0</m:t>
            </m:r>
          </m:sub>
        </m:sSub>
      </m:oMath>
      <w:r>
        <w:rPr/>
        <w:t xml:space="preserve"> et la variable </w:t>
      </w:r>
      <m:oMath>
        <m:r>
          <m:rPr>
            <m:sty m:val="i"/>
          </m:rPr>
          <m:t>G</m:t>
        </m:r>
        <m:r>
          <m:rPr>
            <m:sty m:val="p"/>
          </m:rPr>
          <m:t>=</m:t>
        </m:r>
        <m:acc>
          <m:accPr>
            <m:chr m:val="¨"/>
          </m:accPr>
          <m:e>
            <m:r>
              <m:rPr>
                <m:sty m:val="i"/>
              </m:rPr>
              <m:t>h</m:t>
            </m:r>
          </m:e>
        </m:acc>
        <m:r>
          <m:rPr>
            <m:sty m:val="p"/>
          </m:rPr>
          <m:t>/</m:t>
        </m:r>
        <m:r>
          <m:rPr>
            <m:sty m:val="i"/>
          </m:rPr>
          <m:t>g</m:t>
        </m:r>
      </m:oMath>
      <w:r>
        <w:rPr/>
        <w:t xml:space="preserve">.</w:t>
      </w:r>
      <w:r>
        <w:rPr/>
        <w:br w:type="textWrapping"/>
      </w:r>
      <w:r>
        <w:rPr>
          <w:rFonts w:eastAsia="Georgia" w:cs="Georgia" w:ascii="Georgia" w:hAnsi="Georgia"/>
        </w:rPr>
        <w:t xml:space="preserve">5. Établir l'expression de la réaction </w:t>
      </w:r>
      <m:oMath>
        <m:acc>
          <m:accPr>
            <m:chr m:val="⃗"/>
          </m:accPr>
          <m:e>
            <m:r>
              <m:rPr>
                <m:sty m:val="i"/>
              </m:rPr>
              <m:t>R</m:t>
            </m:r>
          </m:e>
        </m:acc>
      </m:oMath>
      <w:r>
        <w:rPr>
          <w:rFonts w:eastAsia="Georgia" w:cs="Georgia" w:ascii="Georgia" w:hAnsi="Georgia"/>
        </w:rPr>
        <w:t xml:space="preserve"> que l'élément (1) exerce sur le pendule (2) par l'intermédiaire du pivot A. On exprimera les composantes de cette force dans le référentiel </w:t>
      </w:r>
      <m:oMath>
        <m:sSub>
          <m:sSubPr/>
          <m:e>
            <m:r>
              <m:rPr>
                <m:scr m:val="script"/>
              </m:rPr>
              <m:t>R</m:t>
            </m:r>
          </m:e>
          <m:sub>
            <m:r>
              <m:rPr>
                <m:sty m:val="p"/>
              </m:rPr>
              <m:t>0</m:t>
            </m:r>
          </m:sub>
        </m:sSub>
      </m:oMath>
      <w:r>
        <w:rPr>
          <w:rFonts w:eastAsia="Georgia" w:cs="Georgia" w:ascii="Georgia" w:hAnsi="Georgia"/>
        </w:rPr>
        <w:t xml:space="preserve"> et on fera apparaître les variables </w:t>
      </w:r>
      <m:oMath>
        <m:r>
          <m:rPr>
            <m:sty m:val="i"/>
          </m:rPr>
          <m:t>G</m:t>
        </m:r>
      </m:oMath>
      <w:r>
        <w:rPr/>
        <w:t xml:space="preserve"> et </w:t>
      </w:r>
      <m:oMath>
        <m:r>
          <m:rPr>
            <m:sty m:val="i"/>
          </m:rPr>
          <m:t>U</m:t>
        </m:r>
        <m:r>
          <m:rPr>
            <m:sty m:val="p"/>
          </m:rPr>
          <m:t>=</m:t>
        </m:r>
        <m:sSup>
          <m:sSupPr/>
          <m:e>
            <m:acc>
              <m:accPr>
                <m:chr m:val="˙"/>
              </m:accPr>
              <m:e>
                <m:r>
                  <m:rPr>
                    <m:sty m:val="i"/>
                  </m:rPr>
                  <m:t>θ</m:t>
                </m:r>
              </m:e>
            </m:acc>
          </m:e>
          <m:sup>
            <m:r>
              <m:rPr>
                <m:sty m:val="p"/>
              </m:rPr>
              <m:t>2</m:t>
            </m:r>
          </m:sup>
        </m:sSup>
        <m:r>
          <m:rPr>
            <m:sty m:val="p"/>
          </m:rPr>
          <m:t>/</m:t>
        </m:r>
        <m:sSubSup>
          <m:sSubSupPr/>
          <m:e>
            <m:r>
              <m:rPr>
                <m:sty m:val="i"/>
              </m:rPr>
              <m:t>ω</m:t>
            </m:r>
          </m:e>
          <m:sub>
            <m:r>
              <m:rPr>
                <m:sty m:val="p"/>
              </m:rPr>
              <m:t>0</m:t>
            </m:r>
          </m:sub>
          <m:sup>
            <m:r>
              <m:rPr>
                <m:sty m:val="p"/>
              </m:rPr>
              <m:t>2</m:t>
            </m:r>
          </m:sup>
        </m:sSubSup>
      </m:oMath>
      <w:r>
        <w:rPr/>
        <w:t xml:space="preserve">.</w:t>
      </w:r>
      <w:r>
        <w:rPr/>
        <w:br w:type="textWrapping"/>
      </w:r>
      <w:r>
        <w:rPr>
          <w:rFonts w:eastAsia="Georgia" w:cs="Georgia" w:ascii="Georgia" w:hAnsi="Georgia"/>
        </w:rPr>
        <w:t xml:space="preserve">6. En déduire l'expression de la réaction </w:t>
      </w:r>
      <m:oMath>
        <m:acc>
          <m:accPr>
            <m:chr m:val="⃗"/>
          </m:accPr>
          <m:e>
            <m:r>
              <m:rPr>
                <m:sty m:val="i"/>
              </m:rPr>
              <m:t>R</m:t>
            </m:r>
          </m:e>
        </m:acc>
      </m:oMath>
      <w:r>
        <w:rPr>
          <w:rFonts w:eastAsia="Georgia" w:cs="Georgia" w:ascii="Georgia" w:hAnsi="Georgia"/>
        </w:rPr>
        <w:t xml:space="preserve">, développée jusqu'au deuxième ordre par rapport aux variables </w:t>
      </w:r>
      <m:oMath>
        <m:r>
          <m:rPr>
            <m:sty m:val="i"/>
          </m:rPr>
          <m:t>θ</m:t>
        </m:r>
      </m:oMath>
      <w:r>
        <w:rPr/>
        <w:t xml:space="preserve"> et </w:t>
      </w:r>
      <m:oMath>
        <m:acc>
          <m:accPr>
            <m:chr m:val="˙"/>
          </m:accPr>
          <m:e>
            <m:r>
              <m:rPr>
                <m:sty m:val="i"/>
              </m:rPr>
              <m:t>θ</m:t>
            </m:r>
          </m:e>
        </m:acc>
        <m:r>
          <m:rPr>
            <m:sty m:val="p"/>
          </m:rPr>
          <m:t>/</m:t>
        </m:r>
        <m:sSub>
          <m:sSubPr/>
          <m:e>
            <m:r>
              <m:rPr>
                <m:sty m:val="i"/>
              </m:rPr>
              <m:t>ω</m:t>
            </m:r>
          </m:e>
          <m:sub>
            <m:r>
              <m:rPr>
                <m:sty m:val="p"/>
              </m:rPr>
              <m:t>0</m:t>
            </m:r>
          </m:sub>
        </m:sSub>
      </m:oMath>
      <w:r>
        <w:rPr>
          <w:rFonts w:eastAsia="Georgia" w:cs="Georgia" w:ascii="Georgia" w:hAnsi="Georgia"/>
        </w:rPr>
        <w:t xml:space="preserve">. On exprimera les composantes de cette force dans le référentiel </w:t>
      </w:r>
      <m:oMath>
        <m:sSub>
          <m:sSubPr/>
          <m:e>
            <m:r>
              <m:rPr>
                <m:scr m:val="script"/>
              </m:rPr>
              <m:t>R</m:t>
            </m:r>
          </m:e>
          <m:sub>
            <m:r>
              <m:rPr>
                <m:sty m:val="p"/>
              </m:rPr>
              <m:t>0</m:t>
            </m:r>
          </m:sub>
        </m:sSub>
      </m:oMath>
      <w:r>
        <w:rPr/>
        <w:br w:type="textWrapping"/>
      </w:r>
      <w:r>
        <w:rPr>
          <w:rFonts w:eastAsia="Georgia" w:cs="Georgia" w:ascii="Georgia" w:hAnsi="Georgia"/>
        </w:rPr>
        <w:t xml:space="preserve">7. Exprimer la puissance instantanée </w:t>
      </w:r>
      <m:oMath>
        <m:r>
          <m:rPr>
            <m:sty m:val="i"/>
          </m:rPr>
          <m:t>P</m:t>
        </m:r>
        <m:r>
          <m:rPr>
            <m:sty m:val="p"/>
          </m:rPr>
          <m:t>(</m:t>
        </m:r>
        <m:r>
          <m:rPr>
            <m:sty m:val="i"/>
          </m:rPr>
          <m:t>t</m:t>
        </m:r>
        <m:r>
          <m:rPr>
            <m:sty m:val="p"/>
          </m:rPr>
          <m:t>)</m:t>
        </m:r>
      </m:oMath>
      <w:r>
        <w:rPr>
          <w:rFonts w:eastAsia="Georgia" w:cs="Georgia" w:ascii="Georgia" w:hAnsi="Georgia"/>
        </w:rPr>
        <w:t xml:space="preserve"> que l'opérateur agissant sur le pivot A fournit au pendule, développée jusqu'au deuxième ordre par rapport aux variables </w:t>
      </w:r>
      <m:oMath>
        <m:r>
          <m:rPr>
            <m:sty m:val="i"/>
          </m:rPr>
          <m:t>θ</m:t>
        </m:r>
      </m:oMath>
      <w:r>
        <w:rPr/>
        <w:t xml:space="preserve"> et </w:t>
      </w:r>
      <m:oMath>
        <m:acc>
          <m:accPr>
            <m:chr m:val="˙"/>
          </m:accPr>
          <m:e>
            <m:r>
              <m:rPr>
                <m:sty m:val="i"/>
              </m:rPr>
              <m:t>θ</m:t>
            </m:r>
          </m:e>
        </m:acc>
        <m:r>
          <m:rPr>
            <m:sty m:val="p"/>
          </m:rPr>
          <m:t>/</m:t>
        </m:r>
        <m:sSub>
          <m:sSubPr/>
          <m:e>
            <m:r>
              <m:rPr>
                <m:sty m:val="i"/>
              </m:rPr>
              <m:t>ω</m:t>
            </m:r>
          </m:e>
          <m:sub>
            <m:r>
              <m:rPr>
                <m:sty m:val="p"/>
              </m:rPr>
              <m:t>0</m:t>
            </m:r>
          </m:sub>
        </m:sSub>
      </m:oMath>
      <w:r>
        <w:rPr>
          <w:rFonts w:eastAsia="Georgia" w:cs="Georgia" w:ascii="Georgia" w:hAnsi="Georgia"/>
        </w:rPr>
        <w:t xml:space="preserve">. On vérifiera qu'elle s'exprime :</w:t>
      </w:r>
    </w:p>
    <w:p>
      <w:pPr>
        <w:spacing w:after="220" w:lineRule="auto"/>
      </w:pPr>
      <m:oMathPara>
        <m:oMath>
          <m:r>
            <m:rPr>
              <m:sty m:val="i"/>
            </m:rPr>
            <m:t>P</m:t>
          </m:r>
          <m:r>
            <m:rPr>
              <m:sty m:val="p"/>
            </m:rPr>
            <m:t>(</m:t>
          </m:r>
          <m:r>
            <m:rPr>
              <m:sty m:val="i"/>
            </m:rPr>
            <m:t>t</m:t>
          </m:r>
          <m:r>
            <m:rPr>
              <m:sty m:val="p"/>
            </m:rPr>
            <m:t>)</m:t>
          </m:r>
          <m:r>
            <m:rPr>
              <m:sty m:val="p"/>
            </m:rPr>
            <m:t>=</m:t>
          </m:r>
          <m:r>
            <m:rPr>
              <m:sty m:val="p"/>
            </m:rPr>
            <m:t>−</m:t>
          </m:r>
          <m:r>
            <m:rPr>
              <m:sty m:val="i"/>
            </m:rPr>
            <m:t>m</m:t>
          </m:r>
          <m:r>
            <m:rPr>
              <m:sty m:val="i"/>
            </m:rPr>
            <m:t>g</m:t>
          </m:r>
          <m:d>
            <m:dPr>
              <m:begChr m:val="{"/>
              <m:endChr m:val="}"/>
              <m:ctrlPr>
                <w:rPr>
                  <w:rFonts w:ascii="Cambria Math" w:hAnsi="Cambria Math"/>
                </w:rPr>
              </m:ctrlPr>
            </m:dPr>
            <m:e>
              <m:r>
                <m:rPr>
                  <m:sty m:val="p"/>
                </m:rPr>
                <m:t>(</m:t>
              </m:r>
              <m:r>
                <m:rPr>
                  <m:sty m:val="p"/>
                </m:rPr>
                <m:t>1</m:t>
              </m:r>
              <m:r>
                <m:rPr>
                  <m:sty m:val="p"/>
                </m:rPr>
                <m:t>−</m:t>
              </m:r>
              <m:r>
                <m:rPr>
                  <m:sty m:val="i"/>
                </m:rPr>
                <m:t>G</m:t>
              </m:r>
              <m:r>
                <m:rPr>
                  <m:sty m:val="p"/>
                </m:rPr>
                <m:t>)</m:t>
              </m:r>
              <m:d>
                <m:dPr>
                  <m:begChr m:val="("/>
                  <m:endChr m:val=")"/>
                  <m:ctrlPr>
                    <w:rPr>
                      <w:rFonts w:ascii="Cambria Math" w:hAnsi="Cambria Math"/>
                    </w:rPr>
                  </m:ctrlPr>
                </m:dPr>
                <m:e>
                  <m:r>
                    <m:rPr>
                      <m:sty m:val="p"/>
                    </m:rPr>
                    <m:t>1</m:t>
                  </m:r>
                  <m:r>
                    <m:rPr>
                      <m:sty m:val="p"/>
                    </m:rPr>
                    <m:t>−</m:t>
                  </m:r>
                  <m:sSup>
                    <m:sSupPr/>
                    <m:e>
                      <m:r>
                        <m:rPr>
                          <m:sty m:val="i"/>
                        </m:rPr>
                        <m:t>θ</m:t>
                      </m:r>
                    </m:e>
                    <m:sup>
                      <m:r>
                        <m:rPr>
                          <m:sty m:val="p"/>
                        </m:rPr>
                        <m:t>2</m:t>
                      </m:r>
                    </m:sup>
                  </m:sSup>
                </m:e>
              </m:d>
              <m:r>
                <m:rPr>
                  <m:sty m:val="p"/>
                </m:rPr>
                <m:t>+</m:t>
              </m:r>
              <m:r>
                <m:rPr>
                  <m:sty m:val="i"/>
                </m:rPr>
                <m:t>U</m:t>
              </m:r>
            </m:e>
          </m:d>
          <m:acc>
            <m:accPr>
              <m:chr m:val="˙"/>
            </m:accPr>
            <m:e>
              <m:r>
                <m:rPr>
                  <m:sty m:val="i"/>
                </m:rPr>
                <m:t>h</m:t>
              </m:r>
            </m:e>
          </m:acc>
        </m:oMath>
      </m:oMathPara>
    </w:p>
    <w:p>
      <w:pPr>
        <w:spacing w:after="220" w:lineRule="auto"/>
      </w:pPr>
      <w:r>
        <w:rPr>
          <w:rFonts w:eastAsia="Georgia" w:cs="Georgia" w:ascii="Georgia" w:hAnsi="Georgia"/>
        </w:rPr>
        <w:t xml:space="preserve">C'est sous cette forme développée à l'ordre deux que la puissance interviendra dans toute la suite.</w:t>
      </w:r>
    </w:p>
    <w:p>
      <w:pPr>
        <w:numPr>
          <w:ilvl w:val="0"/>
          <w:numId w:val="3"/>
        </w:numPr>
        <w:spacing w:lineRule="auto"/>
      </w:pPr>
      <w:r>
        <w:rPr>
          <w:rFonts w:eastAsia="Georgia" w:cs="Georgia" w:ascii="Georgia" w:hAnsi="Georgia"/>
        </w:rPr>
        <w:t xml:space="preserve">L'opérateur extérieur impose un mouvement vertical oscillant au pivot A décrit par l'équation horaire :</w:t>
      </w:r>
      <w:r>
        <w:rPr/>
        <w:br w:type="textWrapping"/>
      </w:r>
      <m:oMath>
        <m:r>
          <m:rPr>
            <m:sty m:val="i"/>
          </m:rPr>
          <m:t>h</m:t>
        </m:r>
        <m:r>
          <m:rPr>
            <m:sty m:val="p"/>
          </m:rPr>
          <m:t>(</m:t>
        </m:r>
        <m:r>
          <m:rPr>
            <m:sty m:val="i"/>
          </m:rPr>
          <m:t>t</m:t>
        </m:r>
        <m:r>
          <m:rPr>
            <m:sty m:val="p"/>
          </m:rPr>
          <m:t>)</m:t>
        </m:r>
        <m:r>
          <m:rPr>
            <m:sty m:val="p"/>
          </m:rPr>
          <m:t>=</m:t>
        </m:r>
        <m:r>
          <m:rPr>
            <m:sty m:val="i"/>
          </m:rPr>
          <m:t>a</m:t>
        </m:r>
        <m:r>
          <m:rPr>
            <m:sty m:val="p"/>
          </m:rPr>
          <m:t>sin</m:t>
        </m:r>
        <m:r>
          <m:rPr>
            <m:sty m:val="p"/>
          </m:rPr>
          <m:t>⁡</m:t>
        </m:r>
        <m:r>
          <m:rPr>
            <m:sty m:val="p"/>
          </m:rPr>
          <m:t>(</m:t>
        </m:r>
        <m:r>
          <m:rPr>
            <m:sty m:val="p"/>
          </m:rPr>
          <m:t>Ω</m:t>
        </m:r>
        <m:r>
          <m:rPr>
            <m:sty m:val="i"/>
          </m:rPr>
          <m:t>t</m:t>
        </m:r>
        <m:r>
          <m:rPr>
            <m:sty m:val="p"/>
          </m:rPr>
          <m:t>+</m:t>
        </m:r>
        <m:r>
          <m:rPr>
            <m:sty m:val="i"/>
          </m:rPr>
          <m:t>ϕ</m:t>
        </m:r>
        <m:r>
          <m:rPr>
            <m:sty m:val="p"/>
          </m:rPr>
          <m:t>)</m:t>
        </m:r>
        <m:r>
          <m:rPr>
            <m:sty m:val="p"/>
          </m:rPr>
          <m:t xml:space="preserve"> </m:t>
        </m:r>
        <m:r>
          <m:rPr>
            <m:sty m:val="p"/>
          </m:rPr>
          <m:t>(</m:t>
        </m:r>
        <m:r>
          <m:rPr>
            <m:sty m:val="i"/>
          </m:rPr>
          <m:t>a</m:t>
        </m:r>
        <m:r>
          <m:rPr>
            <m:sty m:val="p"/>
          </m:rPr>
          <m:t>=</m:t>
        </m:r>
      </m:oMath>
      <w:r>
        <w:rPr/>
        <w:t xml:space="preserve"> Cste </w:t>
      </w:r>
      <m:oMath>
        <m:r>
          <m:rPr>
            <m:sty m:val="p"/>
          </m:rPr>
          <m:t>≥</m:t>
        </m:r>
        <m:r>
          <m:rPr>
            <m:sty m:val="p"/>
          </m:rPr>
          <m:t>0</m:t>
        </m:r>
        <m:r>
          <m:rPr>
            <m:sty m:val="p"/>
          </m:rPr>
          <m:t>,</m:t>
        </m:r>
        <m:r>
          <m:rPr>
            <m:sty m:val="p"/>
          </m:rPr>
          <m:t>Ω</m:t>
        </m:r>
        <m:r>
          <m:rPr>
            <m:sty m:val="p"/>
          </m:rPr>
          <m:t>=</m:t>
        </m:r>
      </m:oMath>
      <w:r>
        <w:rPr/>
        <w:t xml:space="preserve"> Cste </w:t>
      </w:r>
      <m:oMath>
        <m:r>
          <m:rPr>
            <m:sty m:val="p"/>
          </m:rPr>
          <m:t>≥</m:t>
        </m:r>
        <m:r>
          <m:rPr>
            <m:sty m:val="p"/>
          </m:rPr>
          <m:t>0</m:t>
        </m:r>
        <m:r>
          <m:rPr>
            <m:sty m:val="p"/>
          </m:rPr>
          <m:t>,</m:t>
        </m:r>
        <m:r>
          <m:rPr>
            <m:sty m:val="i"/>
          </m:rPr>
          <m:t>ϕ</m:t>
        </m:r>
        <m:r>
          <m:rPr>
            <m:sty m:val="p"/>
          </m:rPr>
          <m:t>=</m:t>
        </m:r>
      </m:oMath>
      <w:r>
        <w:rPr/>
        <w:t xml:space="preserve"> Cste </w:t>
      </w:r>
      <m:oMath>
        <m:r>
          <m:rPr>
            <m:sty m:val="p"/>
          </m:rPr>
          <m:t>)</m:t>
        </m:r>
      </m:oMath>
    </w:p>
    <w:p>
      <w:pPr>
        <w:spacing w:after="220" w:lineRule="auto"/>
      </w:pPr>
      <w:r>
        <w:rPr/>
        <w:t xml:space="preserve">La phase </w:t>
      </w:r>
      <m:oMath>
        <m:r>
          <m:rPr>
            <m:sty m:val="i"/>
          </m:rPr>
          <m:t>ϕ</m:t>
        </m:r>
      </m:oMath>
      <w:r>
        <w:rPr>
          <w:rFonts w:eastAsia="Georgia" w:cs="Georgia" w:ascii="Georgia" w:hAnsi="Georgia"/>
        </w:rPr>
        <w:t xml:space="preserve"> positionne temporellement cette excitation par rapport à l'évolution </w:t>
      </w:r>
      <m:oMath>
        <m:r>
          <m:rPr>
            <m:sty m:val="i"/>
          </m:rPr>
          <m:t>θ</m:t>
        </m:r>
        <m:r>
          <m:rPr>
            <m:sty m:val="p"/>
          </m:rPr>
          <m:t>=</m:t>
        </m:r>
        <m:r>
          <m:rPr>
            <m:sty m:val="i"/>
          </m:rPr>
          <m:t>θ</m:t>
        </m:r>
        <m:r>
          <m:rPr>
            <m:sty m:val="p"/>
          </m:rPr>
          <m:t>(</m:t>
        </m:r>
        <m:r>
          <m:rPr>
            <m:sty m:val="i"/>
          </m:rPr>
          <m:t>t</m:t>
        </m:r>
        <m:r>
          <m:rPr>
            <m:sty m:val="p"/>
          </m:rPr>
          <m:t>)</m:t>
        </m:r>
      </m:oMath>
      <w:r>
        <w:rPr/>
        <w:t xml:space="preserve"> du pendule.</w:t>
      </w:r>
      <w:r>
        <w:rPr/>
        <w:br w:type="textWrapping"/>
      </w:r>
      <w:r>
        <w:rPr>
          <w:rFonts w:eastAsia="Georgia" w:cs="Georgia" w:ascii="Georgia" w:hAnsi="Georgia"/>
        </w:rPr>
        <w:t xml:space="preserve">8. Exprimer la puissance instantanée </w:t>
      </w:r>
      <m:oMath>
        <m:r>
          <m:rPr>
            <m:sty m:val="i"/>
          </m:rPr>
          <m:t>P</m:t>
        </m:r>
        <m:r>
          <m:rPr>
            <m:sty m:val="p"/>
          </m:rPr>
          <m:t>(</m:t>
        </m:r>
        <m:r>
          <m:rPr>
            <m:sty m:val="i"/>
          </m:rPr>
          <m:t>t</m:t>
        </m:r>
        <m:r>
          <m:rPr>
            <m:sty m:val="p"/>
          </m:rPr>
          <m:t>)</m:t>
        </m:r>
      </m:oMath>
      <w:r>
        <w:rPr/>
        <w:t xml:space="preserve"> dans le cas </w:t>
      </w:r>
      <m:oMath>
        <m:r>
          <m:rPr>
            <m:sty m:val="p"/>
          </m:rPr>
          <m:t>|</m:t>
        </m:r>
        <m:r>
          <m:rPr>
            <m:sty m:val="i"/>
          </m:rPr>
          <m:t>G</m:t>
        </m:r>
        <m:r>
          <m:rPr>
            <m:sty m:val="p"/>
          </m:rPr>
          <m:t>|</m:t>
        </m:r>
        <m:r>
          <m:rPr>
            <m:sty m:val="p"/>
          </m:rPr>
          <m:t>≪</m:t>
        </m:r>
        <m:r>
          <m:rPr>
            <m:sty m:val="p"/>
          </m:rPr>
          <m:t>1</m:t>
        </m:r>
      </m:oMath>
      <w:r>
        <w:rPr>
          <w:rFonts w:eastAsia="Georgia" w:cs="Georgia" w:ascii="Georgia" w:hAnsi="Georgia"/>
        </w:rPr>
        <w:t xml:space="preserve"> et en adoptant l'évolution </w:t>
      </w:r>
      <m:oMath>
        <m:r>
          <m:rPr>
            <m:sty m:val="i"/>
          </m:rPr>
          <m:t>θ</m:t>
        </m:r>
        <m:r>
          <m:rPr>
            <m:sty m:val="p"/>
          </m:rPr>
          <m:t>=</m:t>
        </m:r>
        <m:r>
          <m:rPr>
            <m:sty m:val="i"/>
          </m:rPr>
          <m:t>θ</m:t>
        </m:r>
        <m:r>
          <m:rPr>
            <m:sty m:val="p"/>
          </m:rPr>
          <m:t>(</m:t>
        </m:r>
        <m:r>
          <m:rPr>
            <m:sty m:val="i"/>
          </m:rPr>
          <m:t>t</m:t>
        </m:r>
        <m:r>
          <m:rPr>
            <m:sty m:val="p"/>
          </m:rPr>
          <m:t>)</m:t>
        </m:r>
      </m:oMath>
      <w:r>
        <w:rPr>
          <w:rFonts w:eastAsia="Georgia" w:cs="Georgia" w:ascii="Georgia" w:hAnsi="Georgia"/>
        </w:rPr>
        <w:t xml:space="preserve"> du régime des petits angles :</w:t>
      </w:r>
    </w:p>
    <w:p>
      <w:pPr>
        <w:spacing w:after="220" w:lineRule="auto"/>
      </w:pPr>
      <m:oMathPara>
        <m:oMath>
          <m:r>
            <m:rPr>
              <m:sty m:val="i"/>
            </m:rPr>
            <m:t>θ</m:t>
          </m:r>
          <m:r>
            <m:rPr>
              <m:sty m:val="p"/>
            </m:rPr>
            <m:t>(</m:t>
          </m:r>
          <m:r>
            <m:rPr>
              <m:sty m:val="i"/>
            </m:rPr>
            <m:t>t</m:t>
          </m:r>
          <m:r>
            <m:rPr>
              <m:sty m:val="p"/>
            </m:rPr>
            <m:t>)</m:t>
          </m:r>
          <m:r>
            <m:rPr>
              <m:sty m:val="p"/>
            </m:rPr>
            <m:t>=</m:t>
          </m:r>
          <m:r>
            <m:rPr>
              <m:sty m:val="i"/>
            </m:rPr>
            <m:t>A</m:t>
          </m:r>
          <m:r>
            <m:rPr>
              <m:sty m:val="p"/>
            </m:rPr>
            <m:t>sin</m:t>
          </m:r>
          <m:r>
            <m:rPr>
              <m:sty m:val="p"/>
            </m:rPr>
            <m:t>⁡</m:t>
          </m:r>
          <m:sSub>
            <m:sSubPr/>
            <m:e>
              <m:r>
                <m:rPr>
                  <m:sty m:val="i"/>
                </m:rPr>
                <m:t>ω</m:t>
              </m:r>
            </m:e>
            <m:sub>
              <m:r>
                <m:rPr>
                  <m:sty m:val="p"/>
                </m:rPr>
                <m:t>0</m:t>
              </m:r>
            </m:sub>
          </m:sSub>
          <m:r>
            <m:rPr>
              <m:sty m:val="i"/>
            </m:rPr>
            <m:t>t</m:t>
          </m:r>
          <m:r>
            <m:rPr>
              <m:sty m:val="p"/>
            </m:rPr>
            <m:t xml:space="preserve"> </m:t>
          </m:r>
          <m:r>
            <m:rPr>
              <m:sty m:val="p"/>
            </m:rPr>
            <m:t>(</m:t>
          </m:r>
          <m:r>
            <m:rPr>
              <m:sty m:val="i"/>
            </m:rPr>
            <m:t>A</m:t>
          </m:r>
          <m:r>
            <m:rPr>
              <m:sty m:val="p"/>
            </m:rPr>
            <m:t>≥</m:t>
          </m:r>
          <m:r>
            <m:rPr>
              <m:sty m:val="p"/>
            </m:rPr>
            <m:t>0</m:t>
          </m:r>
          <m:r>
            <m:rPr>
              <m:sty m:val="p"/>
            </m:rPr>
            <m:t>)</m:t>
          </m:r>
        </m:oMath>
      </m:oMathPara>
    </w:p>
    <w:p>
      <w:pPr>
        <w:numPr>
          <w:ilvl w:val="0"/>
          <w:numId w:val="4"/>
        </w:numPr>
        <w:spacing w:lineRule="auto"/>
      </w:pPr>
      <w:r>
        <w:rPr>
          <w:rFonts w:eastAsia="Georgia" w:cs="Georgia" w:ascii="Georgia" w:hAnsi="Georgia"/>
        </w:rPr>
        <w:t xml:space="preserve">Nous nous intéressons à la puissance moyenne </w:t>
      </w:r>
      <m:oMath>
        <m:sSub>
          <m:sSubPr/>
          <m:e>
            <m:r>
              <m:rPr>
                <m:sty m:val="i"/>
              </m:rPr>
              <m:t>P</m:t>
            </m:r>
          </m:e>
          <m:sub>
            <m:r>
              <m:rPr>
                <m:sty m:val="p"/>
              </m:rPr>
              <m:t>m</m:t>
            </m:r>
          </m:sub>
        </m:sSub>
        <m:r>
          <m:rPr>
            <m:sty m:val="p"/>
          </m:rPr>
          <m:t>(</m:t>
        </m:r>
        <m:r>
          <m:rPr>
            <m:sty m:val="i"/>
          </m:rPr>
          <m:t>t</m:t>
        </m:r>
        <m:r>
          <m:rPr>
            <m:sty m:val="p"/>
          </m:rPr>
          <m:t>)</m:t>
        </m:r>
      </m:oMath>
      <w:r>
        <w:rPr>
          <w:rFonts w:eastAsia="Georgia" w:cs="Georgia" w:ascii="Georgia" w:hAnsi="Georgia"/>
        </w:rPr>
        <w:t xml:space="preserve"> de la puissance instantanée </w:t>
      </w:r>
      <m:oMath>
        <m:r>
          <m:rPr>
            <m:sty m:val="i"/>
          </m:rPr>
          <m:t>P</m:t>
        </m:r>
        <m:r>
          <m:rPr>
            <m:sty m:val="p"/>
          </m:rPr>
          <m:t>(</m:t>
        </m:r>
        <m:r>
          <m:rPr>
            <m:sty m:val="i"/>
          </m:rPr>
          <m:t>t</m:t>
        </m:r>
        <m:r>
          <m:rPr>
            <m:sty m:val="p"/>
          </m:rPr>
          <m:t>)</m:t>
        </m:r>
      </m:oMath>
      <w:r>
        <w:rPr/>
        <w:t xml:space="preserve"> sur l'intervalle temporel glissant </w:t>
      </w:r>
      <m:oMath>
        <m:d>
          <m:dPr>
            <m:begChr m:val="["/>
            <m:endChr m:val=""/>
            <m:ctrlPr>
              <w:rPr>
                <w:rFonts w:ascii="Cambria Math" w:hAnsi="Cambria Math"/>
              </w:rPr>
            </m:ctrlPr>
          </m:dPr>
          <m:e>
            <m:r>
              <m:rPr>
                <m:sty m:val="i"/>
              </m:rPr>
              <m:t>t</m:t>
            </m:r>
            <m:r>
              <m:rPr>
                <m:sty m:val="p"/>
              </m:rPr>
              <m:t>,</m:t>
            </m:r>
            <m:r>
              <m:rPr>
                <m:sty m:val="i"/>
              </m:rPr>
              <m:t>t</m:t>
            </m:r>
            <m:r>
              <m:rPr>
                <m:sty m:val="p"/>
              </m:rPr>
              <m:t>+</m:t>
            </m:r>
            <m:sSub>
              <m:sSubPr/>
              <m:e>
                <m:r>
                  <m:rPr>
                    <m:sty m:val="i"/>
                  </m:rPr>
                  <m:t>T</m:t>
                </m:r>
              </m:e>
              <m:sub>
                <m:r>
                  <m:rPr>
                    <m:sty m:val="p"/>
                  </m:rPr>
                  <m:t>0</m:t>
                </m:r>
              </m:sub>
            </m:sSub>
            <m:r>
              <m:rPr>
                <m:sty m:val="p"/>
              </m:rPr>
              <m:t>[</m:t>
            </m:r>
          </m:e>
        </m:d>
      </m:oMath>
      <w:r>
        <w:rPr/>
        <w:t xml:space="preserve">.</w:t>
      </w:r>
    </w:p>
    <w:p>
      <w:pPr>
        <w:numPr>
          <w:ilvl w:val="0"/>
          <w:numId w:val="5"/>
        </w:numPr>
        <w:spacing w:lineRule="auto"/>
      </w:pPr>
      <w:r>
        <w:rPr>
          <w:rFonts w:eastAsia="Georgia" w:cs="Georgia" w:ascii="Georgia" w:hAnsi="Georgia"/>
        </w:rPr>
        <w:t xml:space="preserve">Déterminer à quelle condition, portant sur le rapport </w:t>
      </w:r>
      <m:oMath>
        <m:r>
          <m:rPr>
            <m:sty m:val="i"/>
          </m:rPr>
          <m:t>k</m:t>
        </m:r>
        <m:r>
          <m:rPr>
            <m:sty m:val="p"/>
          </m:rPr>
          <m:t>=</m:t>
        </m:r>
        <m:r>
          <m:rPr>
            <m:sty m:val="p"/>
          </m:rPr>
          <m:t>Ω</m:t>
        </m:r>
        <m:r>
          <m:rPr>
            <m:sty m:val="p"/>
          </m:rPr>
          <m:t>/</m:t>
        </m:r>
        <m:sSub>
          <m:sSubPr/>
          <m:e>
            <m:r>
              <m:rPr>
                <m:sty m:val="i"/>
              </m:rPr>
              <m:t>ω</m:t>
            </m:r>
          </m:e>
          <m:sub>
            <m:r>
              <m:rPr>
                <m:sty m:val="p"/>
              </m:rPr>
              <m:t>0</m:t>
            </m:r>
          </m:sub>
        </m:sSub>
      </m:oMath>
      <w:r>
        <w:rPr>
          <w:rFonts w:eastAsia="Georgia" w:cs="Georgia" w:ascii="Georgia" w:hAnsi="Georgia"/>
        </w:rPr>
        <w:t xml:space="preserve">, cette puissance moyenne comprend une composante constante susceptible d'être non nulle sur tout intervalle de ce type. On exprimera alors </w:t>
      </w:r>
      <m:oMath>
        <m:sSub>
          <m:sSubPr/>
          <m:e>
            <m:r>
              <m:rPr>
                <m:sty m:val="i"/>
              </m:rPr>
              <m:t>P</m:t>
            </m:r>
          </m:e>
          <m:sub>
            <m:r>
              <m:rPr>
                <m:sty m:val="p"/>
              </m:rPr>
              <m:t>m</m:t>
            </m:r>
          </m:sub>
        </m:sSub>
      </m:oMath>
      <w:r>
        <w:rPr/>
        <w:t xml:space="preserve">, dans ce cas.</w:t>
      </w:r>
    </w:p>
    <w:p>
      <w:pPr>
        <w:numPr>
          <w:ilvl w:val="0"/>
          <w:numId w:val="5"/>
        </w:numPr>
        <w:spacing w:lineRule="auto"/>
      </w:pPr>
      <w:r>
        <w:rPr>
          <w:rFonts w:eastAsia="Georgia" w:cs="Georgia" w:ascii="Georgia" w:hAnsi="Georgia"/>
        </w:rPr>
        <w:t xml:space="preserve">Préciser alors la valeur de la phase </w:t>
      </w:r>
      <m:oMath>
        <m:r>
          <m:rPr>
            <m:sty m:val="i"/>
          </m:rPr>
          <m:t>ϕ</m:t>
        </m:r>
      </m:oMath>
      <w:r>
        <w:rPr/>
        <w:t xml:space="preserve"> assurant le plus efficacement l'amplification de l'amplitude des oscillations du pendule.</w:t>
      </w:r>
    </w:p>
    <w:p>
      <w:pPr>
        <w:numPr>
          <w:ilvl w:val="0"/>
          <w:numId w:val="5"/>
        </w:numPr>
        <w:spacing w:lineRule="auto"/>
      </w:pPr>
      <w:r>
        <w:rPr/>
        <w:t xml:space="preserve">Donner, sous ces deux conditions, l'expression </w:t>
      </w:r>
      <m:oMath>
        <m:sSubSup>
          <m:sSubSupPr/>
          <m:e>
            <m:r>
              <m:rPr>
                <m:sty m:val="i"/>
              </m:rPr>
              <m:t>P</m:t>
            </m:r>
          </m:e>
          <m:sub>
            <m:r>
              <m:rPr>
                <m:sty m:val="p"/>
              </m:rPr>
              <m:t>m</m:t>
            </m:r>
          </m:sub>
          <m:sup>
            <m:r>
              <m:rPr>
                <m:sty m:val="p"/>
              </m:rPr>
              <m:t>⋆</m:t>
            </m:r>
          </m:sup>
        </m:sSubSup>
      </m:oMath>
      <w:r>
        <w:rPr/>
        <w:t xml:space="preserve"> de </w:t>
      </w:r>
      <m:oMath>
        <m:sSub>
          <m:sSubPr/>
          <m:e>
            <m:r>
              <m:rPr>
                <m:sty m:val="i"/>
              </m:rPr>
              <m:t>P</m:t>
            </m:r>
          </m:e>
          <m:sub>
            <m:r>
              <m:rPr>
                <m:sty m:val="p"/>
              </m:rPr>
              <m:t>m</m:t>
            </m:r>
          </m:sub>
        </m:sSub>
      </m:oMath>
      <w:r>
        <w:rPr>
          <w:rFonts w:eastAsia="Georgia" w:cs="Georgia" w:ascii="Georgia" w:hAnsi="Georgia"/>
        </w:rPr>
        <w:t xml:space="preserve">, en fonction des paramètres </w:t>
      </w:r>
      <m:oMath>
        <m:r>
          <m:rPr>
            <m:sty m:val="i"/>
          </m:rPr>
          <m:t>m</m:t>
        </m:r>
        <m:r>
          <m:rPr>
            <m:sty m:val="p"/>
          </m:rPr>
          <m:t>,</m:t>
        </m:r>
        <m:r>
          <m:rPr>
            <m:sty m:val="i"/>
          </m:rPr>
          <m:t>g</m:t>
        </m:r>
        <m:r>
          <m:rPr>
            <m:sty m:val="p"/>
          </m:rPr>
          <m:t>,</m:t>
        </m:r>
        <m:r>
          <m:rPr>
            <m:sty m:val="i"/>
          </m:rPr>
          <m:t>a</m:t>
        </m:r>
        <m:r>
          <m:rPr>
            <m:sty m:val="p"/>
          </m:rPr>
          <m:t>,</m:t>
        </m:r>
        <m:sSub>
          <m:sSubPr/>
          <m:e>
            <m:r>
              <m:rPr>
                <m:sty m:val="i"/>
              </m:rPr>
              <m:t>ω</m:t>
            </m:r>
          </m:e>
          <m:sub>
            <m:r>
              <m:rPr>
                <m:sty m:val="p"/>
              </m:rPr>
              <m:t>0</m:t>
            </m:r>
          </m:sub>
        </m:sSub>
      </m:oMath>
      <w:r>
        <w:rPr/>
        <w:t xml:space="preserve"> et </w:t>
      </w:r>
      <m:oMath>
        <m:r>
          <m:rPr>
            <m:sty m:val="i"/>
          </m:rPr>
          <m:t>A</m:t>
        </m:r>
      </m:oMath>
      <w:r>
        <w:rPr/>
        <w:t xml:space="preserve">.</w:t>
      </w:r>
    </w:p>
    <w:p>
      <w:pPr>
        <w:spacing w:after="220" w:lineRule="auto"/>
      </w:pPr>
      <w:r>
        <w:rPr>
          <w:rFonts w:eastAsia="Georgia" w:cs="Georgia" w:ascii="Georgia" w:hAnsi="Georgia"/>
        </w:rPr>
        <w:t xml:space="preserve">Pour ces calculs, nous considérerons que </w:t>
      </w:r>
      <m:oMath>
        <m:r>
          <m:rPr>
            <m:sty m:val="i"/>
          </m:rPr>
          <m:t>A</m:t>
        </m:r>
      </m:oMath>
      <w:r>
        <w:rPr>
          <w:rFonts w:eastAsia="Georgia" w:cs="Georgia" w:ascii="Georgia" w:hAnsi="Georgia"/>
        </w:rPr>
        <w:t xml:space="preserve"> reste (sensiblement) constant sur l'échelle de temps </w:t>
      </w:r>
      <m:oMath>
        <m:sSub>
          <m:sSubPr/>
          <m:e>
            <m:r>
              <m:rPr>
                <m:sty m:val="i"/>
              </m:rPr>
              <m:t>T</m:t>
            </m:r>
          </m:e>
          <m:sub>
            <m:r>
              <m:rPr>
                <m:sty m:val="p"/>
              </m:rPr>
              <m:t>0</m:t>
            </m:r>
          </m:sub>
        </m:sSub>
      </m:oMath>
      <w:r>
        <w:rPr/>
        <w:t xml:space="preserve">.</w:t>
      </w:r>
      <w:r>
        <w:rPr/>
        <w:br w:type="textWrapping"/>
      </w:r>
      <w:r>
        <w:rPr/>
        <w:t xml:space="preserve">10. Pour la valeur de </w:t>
      </w:r>
      <m:oMath>
        <m:r>
          <m:rPr>
            <m:sty m:val="i"/>
          </m:rPr>
          <m:t>k</m:t>
        </m:r>
      </m:oMath>
      <w:r>
        <w:rPr>
          <w:rFonts w:eastAsia="Georgia" w:cs="Georgia" w:ascii="Georgia" w:hAnsi="Georgia"/>
        </w:rPr>
        <w:t xml:space="preserve"> déterminée en réponse à la question (9), indiquer quelle serait l'influence sur </w:t>
      </w:r>
      <m:oMath>
        <m:sSub>
          <m:sSubPr/>
          <m:e>
            <m:r>
              <m:rPr>
                <m:sty m:val="i"/>
              </m:rPr>
              <m:t>P</m:t>
            </m:r>
          </m:e>
          <m:sub>
            <m:r>
              <m:rPr>
                <m:sty m:val="p"/>
              </m:rPr>
              <m:t>m</m:t>
            </m:r>
          </m:sub>
        </m:sSub>
      </m:oMath>
      <w:r>
        <w:rPr/>
        <w:t xml:space="preserve"> du terme </w:t>
      </w:r>
      <m:oMath>
        <m:r>
          <m:rPr>
            <m:sty m:val="i"/>
          </m:rPr>
          <m:t>G</m:t>
        </m:r>
      </m:oMath>
      <w:r>
        <w:rPr>
          <w:rFonts w:eastAsia="Georgia" w:cs="Georgia" w:ascii="Georgia" w:hAnsi="Georgia"/>
        </w:rPr>
        <w:t xml:space="preserve"> que nous avons négligé devant l'unité (question (8)).</w:t>
      </w:r>
    </w:p>
    <w:p>
      <w:pPr>
        <w:numPr>
          <w:ilvl w:val="0"/>
          <w:numId w:val="6"/>
        </w:numPr>
        <w:spacing w:lineRule="auto"/>
      </w:pPr>
      <w:r>
        <w:rPr>
          <w:rFonts w:eastAsia="Georgia" w:cs="Georgia" w:ascii="Georgia" w:hAnsi="Georgia"/>
        </w:rPr>
        <w:t xml:space="preserve">La figure (2) représente la réponse </w:t>
      </w:r>
      <m:oMath>
        <m:r>
          <m:rPr>
            <m:sty m:val="i"/>
          </m:rPr>
          <m:t>θ</m:t>
        </m:r>
        <m:r>
          <m:rPr>
            <m:sty m:val="p"/>
          </m:rPr>
          <m:t>=</m:t>
        </m:r>
        <m:r>
          <m:rPr>
            <m:sty m:val="i"/>
          </m:rPr>
          <m:t>θ</m:t>
        </m:r>
        <m:r>
          <m:rPr>
            <m:sty m:val="p"/>
          </m:rPr>
          <m:t>(</m:t>
        </m:r>
        <m:r>
          <m:rPr>
            <m:sty m:val="i"/>
          </m:rPr>
          <m:t>t</m:t>
        </m:r>
        <m:r>
          <m:rPr>
            <m:sty m:val="p"/>
          </m:rPr>
          <m:t>)</m:t>
        </m:r>
      </m:oMath>
      <w:r>
        <w:rPr>
          <w:rFonts w:eastAsia="Georgia" w:cs="Georgia" w:ascii="Georgia" w:hAnsi="Georgia"/>
        </w:rPr>
        <w:t xml:space="preserve"> du pendule à une excitation de la forme de celle donnée par l'équation (2) et pour les conditions d'excitation les plus favorables definies en réponse à la question (9).</w:t>
      </w:r>
    </w:p>
    <w:p>
      <w:pPr>
        <w:numPr>
          <w:ilvl w:val="0"/>
          <w:numId w:val="7"/>
        </w:numPr>
        <w:spacing w:lineRule="auto"/>
      </w:pPr>
      <w:r>
        <w:rPr>
          <w:rFonts w:eastAsia="Georgia" w:cs="Georgia" w:ascii="Georgia" w:hAnsi="Georgia"/>
        </w:rPr>
        <w:t xml:space="preserve">À partir des résultats obtenus précédemment, établir l'équation </w:t>
      </w:r>
      <m:oMath>
        <m:r>
          <m:rPr>
            <m:sty m:val="i"/>
          </m:rPr>
          <m:t>A</m:t>
        </m:r>
        <m:r>
          <m:rPr>
            <m:sty m:val="p"/>
          </m:rPr>
          <m:t>=</m:t>
        </m:r>
        <m:r>
          <m:rPr>
            <m:sty m:val="i"/>
          </m:rPr>
          <m:t>A</m:t>
        </m:r>
        <m:r>
          <m:rPr>
            <m:sty m:val="p"/>
          </m:rPr>
          <m:t>(</m:t>
        </m:r>
        <m:r>
          <m:rPr>
            <m:sty m:val="i"/>
          </m:rPr>
          <m:t>t</m:t>
        </m:r>
        <m:r>
          <m:rPr>
            <m:sty m:val="p"/>
          </m:rPr>
          <m:t>)</m:t>
        </m:r>
      </m:oMath>
      <w:r>
        <w:rPr>
          <w:rFonts w:eastAsia="Georgia" w:cs="Georgia" w:ascii="Georgia" w:hAnsi="Georgia"/>
        </w:rPr>
        <w:t xml:space="preserve"> de l'enveloppe des oscillations observables sur la figure (2), au début de la phase de croissance. Nous supposerons que la variation de l'amplitude </w:t>
      </w:r>
      <m:oMath>
        <m:r>
          <m:rPr>
            <m:sty m:val="i"/>
          </m:rPr>
          <m:t>A</m:t>
        </m:r>
      </m:oMath>
      <w:r>
        <w:rPr>
          <w:rFonts w:eastAsia="Georgia" w:cs="Georgia" w:ascii="Georgia" w:hAnsi="Georgia"/>
        </w:rPr>
        <w:t xml:space="preserve"> est lente par rapport à celle de l'angle </w:t>
      </w:r>
      <m:oMath>
        <m:r>
          <m:rPr>
            <m:sty m:val="i"/>
          </m:rPr>
          <m:t>θ</m:t>
        </m:r>
      </m:oMath>
      <w:r>
        <w:rPr>
          <w:rFonts w:eastAsia="Georgia" w:cs="Georgia" w:ascii="Georgia" w:hAnsi="Georgia"/>
        </w:rPr>
        <w:t xml:space="preserve"> (hypothèse </w:t>
      </w:r>
      <m:oMath>
        <m:sSub>
          <m:sSubPr/>
          <m:e>
            <m:r>
              <m:rPr>
                <m:sty m:val="p"/>
              </m:rPr>
              <m:t>H</m:t>
            </m:r>
          </m:e>
          <m:sub>
            <m:r>
              <m:rPr>
                <m:sty m:val="i"/>
              </m:rPr>
              <m:t>τ</m:t>
            </m:r>
          </m:sub>
        </m:sSub>
      </m:oMath>
      <w:r>
        <w:rPr/>
        <w:t xml:space="preserve"> ). En notant </w:t>
      </w:r>
      <m:oMath>
        <m:sSub>
          <m:sSubPr/>
          <m:e>
            <m:r>
              <m:rPr>
                <m:sty m:val="i"/>
              </m:rPr>
              <m:t>τ</m:t>
            </m:r>
          </m:e>
          <m:sub>
            <m:r>
              <m:rPr>
                <m:sty m:val="i"/>
              </m:rPr>
              <m:t>A</m:t>
            </m:r>
          </m:sub>
        </m:sSub>
      </m:oMath>
      <w:r>
        <w:rPr>
          <w:rFonts w:eastAsia="Georgia" w:cs="Georgia" w:ascii="Georgia" w:hAnsi="Georgia"/>
        </w:rPr>
        <w:t xml:space="preserve"> le temps caractéristique qui apparaît, exprimer le rapport </w:t>
      </w:r>
      <m:oMath>
        <m:sSub>
          <m:sSubPr/>
          <m:e>
            <m:r>
              <m:rPr>
                <m:sty m:val="i"/>
              </m:rPr>
              <m:t>T</m:t>
            </m:r>
          </m:e>
          <m:sub>
            <m:r>
              <m:rPr>
                <m:sty m:val="p"/>
              </m:rPr>
              <m:t>0</m:t>
            </m:r>
          </m:sub>
        </m:sSub>
        <m:r>
          <m:rPr>
            <m:sty m:val="p"/>
          </m:rPr>
          <m:t>/</m:t>
        </m:r>
        <m:sSub>
          <m:sSubPr/>
          <m:e>
            <m:r>
              <m:rPr>
                <m:sty m:val="i"/>
              </m:rPr>
              <m:t>τ</m:t>
            </m:r>
          </m:e>
          <m:sub>
            <m:r>
              <m:rPr>
                <m:sty m:val="i"/>
              </m:rPr>
              <m:t>A</m:t>
            </m:r>
          </m:sub>
        </m:sSub>
      </m:oMath>
      <w:r>
        <w:rPr/>
        <w:t xml:space="preserve"> en fonction du rapport </w:t>
      </w:r>
      <m:oMath>
        <m:r>
          <m:rPr>
            <m:sty m:val="i"/>
          </m:rPr>
          <m:t>a</m:t>
        </m:r>
        <m:r>
          <m:rPr>
            <m:sty m:val="p"/>
          </m:rPr>
          <m:t>/</m:t>
        </m:r>
        <m:r>
          <m:rPr>
            <m:sty m:val="i"/>
          </m:rPr>
          <m:t>ℓ</m:t>
        </m:r>
      </m:oMath>
      <w:r>
        <w:rPr/>
        <w:t xml:space="preserve">.</w:t>
      </w:r>
    </w:p>
    <w:p>
      <w:pPr>
        <w:numPr>
          <w:ilvl w:val="0"/>
          <w:numId w:val="7"/>
        </w:numPr>
        <w:spacing w:lineRule="auto"/>
      </w:pPr>
      <w:r>
        <w:rPr>
          <w:rFonts w:eastAsia="Georgia" w:cs="Georgia" w:ascii="Georgia" w:hAnsi="Georgia"/>
        </w:rPr>
        <w:t xml:space="preserve">En précisant la méthode mise en œuvre, extraire de la figure (2) une estimation du rapport </w:t>
      </w:r>
      <m:oMath>
        <m:sSub>
          <m:sSubPr/>
          <m:e>
            <m:r>
              <m:rPr>
                <m:sty m:val="i"/>
              </m:rPr>
              <m:t>T</m:t>
            </m:r>
          </m:e>
          <m:sub>
            <m:r>
              <m:rPr>
                <m:sty m:val="p"/>
              </m:rPr>
              <m:t>0</m:t>
            </m:r>
          </m:sub>
        </m:sSub>
        <m:r>
          <m:rPr>
            <m:sty m:val="p"/>
          </m:rPr>
          <m:t>/</m:t>
        </m:r>
        <m:sSub>
          <m:sSubPr/>
          <m:e>
            <m:r>
              <m:rPr>
                <m:sty m:val="i"/>
              </m:rPr>
              <m:t>τ</m:t>
            </m:r>
          </m:e>
          <m:sub>
            <m:r>
              <m:rPr>
                <m:sty m:val="i"/>
              </m:rPr>
              <m:t>A</m:t>
            </m:r>
          </m:sub>
        </m:sSub>
      </m:oMath>
      <w:r>
        <w:rPr/>
        <w:t xml:space="preserve">.</w:t>
      </w:r>
    </w:p>
    <w:p>
      <w:pPr>
        <w:numPr>
          <w:ilvl w:val="0"/>
          <w:numId w:val="7"/>
        </w:numPr>
        <w:spacing w:lineRule="auto"/>
      </w:pPr>
      <w:r>
        <w:rPr>
          <w:rFonts w:eastAsia="Georgia" w:cs="Georgia" w:ascii="Georgia" w:hAnsi="Georgia"/>
        </w:rPr>
        <w:t xml:space="preserve">L'hypothèse </w:t>
      </w:r>
      <m:oMath>
        <m:sSub>
          <m:sSubPr/>
          <m:e>
            <m:r>
              <m:rPr>
                <m:sty m:val="p"/>
              </m:rPr>
              <m:t>H</m:t>
            </m:r>
          </m:e>
          <m:sub>
            <m:r>
              <m:rPr>
                <m:sty m:val="i"/>
              </m:rPr>
              <m:t>τ</m:t>
            </m:r>
          </m:sub>
        </m:sSub>
      </m:oMath>
      <w:r>
        <w:rPr>
          <w:rFonts w:eastAsia="Georgia" w:cs="Georgia" w:ascii="Georgia" w:hAnsi="Georgia"/>
        </w:rPr>
        <w:t xml:space="preserve"> paraît-elle satisfaite?</w:t>
      </w:r>
    </w:p>
    <w:p>
      <w:pPr>
        <w:numPr>
          <w:ilvl w:val="0"/>
          <w:numId w:val="7"/>
        </w:numPr>
        <w:spacing w:lineRule="auto"/>
      </w:pPr>
      <w:r>
        <w:rPr>
          <w:rFonts w:eastAsia="Georgia" w:cs="Georgia" w:ascii="Georgia" w:hAnsi="Georgia"/>
        </w:rPr>
        <w:t xml:space="preserve">Sur la figure (2) on observe, qu'après la phase de croissance attendue, il apparaît un infléchissement puis une phase de décroissance. Expliquer qualitativement l'origine de cet effet.</w:t>
      </w:r>
    </w:p>
    <w:p>
      <w:pPr>
        <w:numPr>
          <w:ilvl w:val="0"/>
          <w:numId w:val="7"/>
        </w:numPr>
        <w:spacing w:lineRule="auto"/>
      </w:pPr>
      <w:r>
        <w:rPr>
          <w:rFonts w:eastAsia="Georgia" w:cs="Georgia" w:ascii="Georgia" w:hAnsi="Georgia"/>
        </w:rPr>
        <w:t xml:space="preserve">On peut également accroître l'amplitude des oscillations d'un pendule en faisant varier sa longueur </w:t>
      </w:r>
      <m:oMath>
        <m:r>
          <m:rPr>
            <m:sty m:val="i"/>
          </m:rPr>
          <m:t>ℓ</m:t>
        </m:r>
      </m:oMath>
      <w:r>
        <w:rPr>
          <w:rFonts w:eastAsia="Georgia" w:cs="Georgia" w:ascii="Georgia" w:hAnsi="Georgia"/>
        </w:rPr>
        <w:t xml:space="preserve"> périodiquement. On substitue alors à la tige une corde passée dans un anneau servant de point-pivot. D'après les résultats précédents, préciser quand il faut raccourcir la corde et quand il faut l'allonger pour réaliser cette amplification. Cette réponse doit être accompagnée d'une argumentation.</w:t>
      </w:r>
    </w:p>
    <w:p>
      <w:pPr>
        <w:spacing w:lineRule="auto"/>
        <w:jc w:val="center"/>
      </w:pPr>
      <w:r>
        <w:rPr/>
        <w:drawing>
          <wp:inline distB="0" distL="0" distR="0" distT="0">
            <wp:extent cx="5486400" cy="4154138"/>
            <wp:effectExtent b="0" l="0" r="0" t="0"/>
            <wp:docPr id="2" name="image-7cad3ec9682909c3155b780d4e1bdfd8f4e0295c.jpg"/>
            <a:graphic>
              <a:graphicData uri="http://schemas.openxmlformats.org/drawingml/2006/picture">
                <pic:pic>
                  <pic:nvPicPr>
                    <pic:cNvPr id="2" name="image-7cad3ec9682909c3155b780d4e1bdfd8f4e0295c.jpg" descr=""/>
                    <pic:cNvPicPr/>
                  </pic:nvPicPr>
                  <pic:blipFill>
                    <a:blip r:embed="rId6" cstate="print"/>
                    <a:srcRect b="0" l="0" r="0" t="0"/>
                    <a:stretch>
                      <a:fillRect/>
                    </a:stretch>
                  </pic:blipFill>
                  <pic:spPr>
                    <a:xfrm>
                      <a:off x="0" y="0"/>
                      <a:ext cx="5486400" cy="4154138"/>
                    </a:xfrm>
                    <a:prstGeom prst="rect"/>
                  </pic:spPr>
                </pic:pic>
              </a:graphicData>
            </a:graphic>
          </wp:inline>
        </w:drawing>
      </w:r>
    </w:p>
    <w:p>
      <w:pPr>
        <w:spacing w:lineRule="auto"/>
      </w:pPr>
      <w:r>
        <w:rPr>
          <w:rFonts w:eastAsia="Georgia" w:cs="Georgia" w:ascii="Georgia" w:hAnsi="Georgia"/>
        </w:rPr>
        <w:t xml:space="preserve">Figure 2 - Réponse du pendule à un mouvement oscillant du pivot A (équation (2)), dans les conditions optimales définies question (9).</w:t>
      </w:r>
    </w:p>
    <w:p>
      <w:pPr>
        <w:spacing w:line="271" w:before="330" w:lineRule="auto"/>
      </w:pPr>
      <w:r>
        <w:rPr>
          <w:rFonts w:eastAsia="Georgia" w:cs="Georgia" w:ascii="Georgia" w:hAnsi="Georgia"/>
          <w:b/>
          <w:sz w:val="42"/>
        </w:rPr>
        <w:t xml:space="preserve">2 Stabilisation dynamique : pendule inversé.</w:t>
      </w:r>
    </w:p>
    <w:p>
      <w:pPr>
        <w:spacing w:after="220" w:lineRule="auto"/>
      </w:pPr>
      <w:r>
        <w:rPr>
          <w:rFonts w:eastAsia="Georgia" w:cs="Georgia" w:ascii="Georgia" w:hAnsi="Georgia"/>
        </w:rPr>
        <w:t xml:space="preserve">Nous nous proposons d'étudier les conditions d'oscillation du pendule autour de l'angle </w:t>
      </w:r>
      <m:oMath>
        <m:r>
          <m:rPr>
            <m:sty m:val="i"/>
          </m:rPr>
          <m:t>π</m:t>
        </m:r>
      </m:oMath>
      <w:r>
        <w:rPr>
          <w:rFonts w:eastAsia="Georgia" w:cs="Georgia" w:ascii="Georgia" w:hAnsi="Georgia"/>
        </w:rPr>
        <w:t xml:space="preserve">. L'opérateur extérieur impose alors au pivot A un mouvement vertical oscillant rapide, mais de faible amplitude, décrit par l'équation horaire :</w:t>
      </w:r>
    </w:p>
    <w:p>
      <w:pPr>
        <w:spacing w:after="220" w:lineRule="auto"/>
      </w:pPr>
      <m:oMathPara>
        <m:oMath>
          <m:r>
            <m:rPr>
              <m:sty m:val="i"/>
            </m:rPr>
            <m:t>h</m:t>
          </m:r>
          <m:r>
            <m:rPr>
              <m:sty m:val="p"/>
            </m:rPr>
            <m:t>(</m:t>
          </m:r>
          <m:r>
            <m:rPr>
              <m:sty m:val="i"/>
            </m:rPr>
            <m:t>t</m:t>
          </m:r>
          <m:r>
            <m:rPr>
              <m:sty m:val="p"/>
            </m:rPr>
            <m:t>)</m:t>
          </m:r>
          <m:r>
            <m:rPr>
              <m:sty m:val="p"/>
            </m:rPr>
            <m:t>=</m:t>
          </m:r>
          <m:r>
            <m:rPr>
              <m:sty m:val="i"/>
            </m:rPr>
            <m:t>a</m:t>
          </m:r>
          <m:r>
            <m:rPr>
              <m:sty m:val="p"/>
            </m:rPr>
            <m:t>sin</m:t>
          </m:r>
          <m:r>
            <m:rPr>
              <m:sty m:val="p"/>
            </m:rPr>
            <m:t>⁡</m:t>
          </m:r>
          <m:r>
            <m:rPr>
              <m:sty m:val="i"/>
            </m:rPr>
            <m:t>ψ</m:t>
          </m:r>
          <m:r>
            <m:rPr>
              <m:sty m:val="p"/>
            </m:rPr>
            <m:t xml:space="preserve"> </m:t>
          </m:r>
          <m:r>
            <m:rPr>
              <m:nor/>
            </m:rPr>
            <m:t> où </m:t>
          </m:r>
          <m:r>
            <m:rPr>
              <m:sty m:val="p"/>
            </m:rPr>
            <m:t xml:space="preserve"> </m:t>
          </m:r>
          <m:r>
            <m:rPr>
              <m:sty m:val="p"/>
            </m:rPr>
            <m:t>0</m:t>
          </m:r>
          <m:r>
            <m:rPr>
              <m:sty m:val="p"/>
            </m:rPr>
            <m:t>≤</m:t>
          </m:r>
          <m:r>
            <m:rPr>
              <m:sty m:val="i"/>
            </m:rPr>
            <m:t>a</m:t>
          </m:r>
          <m:r>
            <m:rPr>
              <m:sty m:val="p"/>
            </m:rPr>
            <m:t>=</m:t>
          </m:r>
          <m:r>
            <m:rPr>
              <m:nor/>
            </m:rPr>
            <m:t> Cste </m:t>
          </m:r>
          <m:r>
            <m:rPr>
              <m:sty m:val="p"/>
            </m:rPr>
            <m:t>≪</m:t>
          </m:r>
          <m:r>
            <m:rPr>
              <m:sty m:val="i"/>
            </m:rPr>
            <m:t>ℓ</m:t>
          </m:r>
          <m:r>
            <m:rPr>
              <m:sty m:val="p"/>
            </m:rPr>
            <m:t>,</m:t>
          </m:r>
          <m:r>
            <m:rPr>
              <m:sty m:val="i"/>
            </m:rPr>
            <m:t>ψ</m:t>
          </m:r>
          <m:r>
            <m:rPr>
              <m:sty m:val="p"/>
            </m:rPr>
            <m:t>=</m:t>
          </m:r>
          <m:r>
            <m:rPr>
              <m:sty m:val="p"/>
            </m:rPr>
            <m:t>Ω</m:t>
          </m:r>
          <m:r>
            <m:rPr>
              <m:sty m:val="i"/>
            </m:rPr>
            <m:t>t</m:t>
          </m:r>
          <m:r>
            <m:rPr>
              <m:sty m:val="p"/>
            </m:rPr>
            <m:t>+</m:t>
          </m:r>
          <m:r>
            <m:rPr>
              <m:sty m:val="i"/>
            </m:rPr>
            <m:t>ϕ</m:t>
          </m:r>
          <m:r>
            <m:rPr>
              <m:sty m:val="p"/>
            </m:rPr>
            <m:t>,</m:t>
          </m:r>
          <m:r>
            <m:rPr>
              <m:sty m:val="p"/>
            </m:rPr>
            <m:t>Ω</m:t>
          </m:r>
          <m:r>
            <m:rPr>
              <m:sty m:val="p"/>
            </m:rPr>
            <m:t>=</m:t>
          </m:r>
          <m:r>
            <m:rPr>
              <m:nor/>
            </m:rPr>
            <m:t> Cste </m:t>
          </m:r>
          <m:r>
            <m:rPr>
              <m:sty m:val="p"/>
            </m:rPr>
            <m:t>≫</m:t>
          </m:r>
          <m:sSub>
            <m:sSubPr/>
            <m:e>
              <m:r>
                <m:rPr>
                  <m:sty m:val="i"/>
                </m:rPr>
                <m:t>ω</m:t>
              </m:r>
            </m:e>
            <m:sub>
              <m:r>
                <m:rPr>
                  <m:sty m:val="p"/>
                </m:rPr>
                <m:t>0</m:t>
              </m:r>
            </m:sub>
          </m:sSub>
          <m:r>
            <m:rPr>
              <m:sty m:val="p"/>
            </m:rPr>
            <m:t>,</m:t>
          </m:r>
          <m:r>
            <m:rPr>
              <m:sty m:val="i"/>
            </m:rPr>
            <m:t>ϕ</m:t>
          </m:r>
          <m:r>
            <m:rPr>
              <m:sty m:val="p"/>
            </m:rPr>
            <m:t>=</m:t>
          </m:r>
          <m:r>
            <m:rPr>
              <m:nor/>
            </m:rPr>
            <m:t> Cste </m:t>
          </m:r>
        </m:oMath>
      </m:oMathPara>
    </w:p>
    <w:p>
      <w:pPr>
        <w:spacing w:after="220" w:lineRule="auto"/>
      </w:pPr>
      <w:r>
        <w:rPr>
          <w:rFonts w:eastAsia="Georgia" w:cs="Georgia" w:ascii="Georgia" w:hAnsi="Georgia"/>
        </w:rPr>
        <w:t xml:space="preserve">La figure (3) représente deux évolutions </w:t>
      </w:r>
      <m:oMath>
        <m:r>
          <m:rPr>
            <m:sty m:val="i"/>
          </m:rPr>
          <m:t>θ</m:t>
        </m:r>
        <m:r>
          <m:rPr>
            <m:sty m:val="p"/>
          </m:rPr>
          <m:t>=</m:t>
        </m:r>
        <m:r>
          <m:rPr>
            <m:sty m:val="i"/>
          </m:rPr>
          <m:t>θ</m:t>
        </m:r>
        <m:r>
          <m:rPr>
            <m:sty m:val="p"/>
          </m:rPr>
          <m:t>(</m:t>
        </m:r>
        <m:r>
          <m:rPr>
            <m:sty m:val="i"/>
          </m:rPr>
          <m:t>t</m:t>
        </m:r>
        <m:r>
          <m:rPr>
            <m:sty m:val="p"/>
          </m:rPr>
          <m:t>)</m:t>
        </m:r>
      </m:oMath>
      <w:r>
        <w:rPr>
          <w:rFonts w:eastAsia="Georgia" w:cs="Georgia" w:ascii="Georgia" w:hAnsi="Georgia"/>
        </w:rPr>
        <w:t xml:space="preserve"> correspondant aux mêmes paramètres d'excitation mais à des conditions initiales légèrement différentes. Pour l'une </w:t>
      </w:r>
      <m:oMath>
        <m:sSub>
          <m:sSubPr/>
          <m:e>
            <m:r>
              <m:rPr>
                <m:sty m:val="p"/>
              </m:rPr>
              <m:t>CI</m:t>
            </m:r>
          </m:e>
          <m:sub>
            <m:r>
              <m:rPr>
                <m:sty m:val="p"/>
              </m:rPr>
              <m:t>1</m:t>
            </m:r>
          </m:sub>
        </m:sSub>
        <m:r>
          <m:rPr>
            <m:sty m:val="p"/>
          </m:rPr>
          <m:t>(</m:t>
        </m:r>
        <m:r>
          <m:rPr>
            <m:sty m:val="i"/>
          </m:rPr>
          <m:t>θ</m:t>
        </m:r>
        <m:r>
          <m:rPr>
            <m:sty m:val="p"/>
          </m:rPr>
          <m:t>(</m:t>
        </m:r>
        <m:r>
          <m:rPr>
            <m:sty m:val="p"/>
          </m:rPr>
          <m:t>0</m:t>
        </m:r>
        <m:r>
          <m:rPr>
            <m:sty m:val="p"/>
          </m:rPr>
          <m:t>)</m:t>
        </m:r>
        <m:r>
          <m:rPr>
            <m:sty m:val="p"/>
          </m:rPr>
          <m:t>=</m:t>
        </m:r>
        <m:r>
          <m:rPr>
            <m:sty m:val="p"/>
          </m:rPr>
          <m:t>4</m:t>
        </m:r>
        <m:r>
          <m:rPr>
            <m:sty m:val="i"/>
          </m:rPr>
          <m:t>π</m:t>
        </m:r>
        <m:r>
          <m:rPr>
            <m:sty m:val="p"/>
          </m:rPr>
          <m:t>/</m:t>
        </m:r>
        <m:r>
          <m:rPr>
            <m:sty m:val="p"/>
          </m:rPr>
          <m:t>10</m:t>
        </m:r>
        <m:r>
          <m:rPr>
            <m:sty m:val="p"/>
          </m:rPr>
          <m:t>;</m:t>
        </m:r>
        <m:acc>
          <m:accPr>
            <m:chr m:val="˙"/>
          </m:accPr>
          <m:e>
            <m:r>
              <m:rPr>
                <m:sty m:val="i"/>
              </m:rPr>
              <m:t>θ</m:t>
            </m:r>
          </m:e>
        </m:acc>
        <m:r>
          <m:rPr>
            <m:sty m:val="p"/>
          </m:rPr>
          <m:t>(</m:t>
        </m:r>
        <m:r>
          <m:rPr>
            <m:sty m:val="p"/>
          </m:rPr>
          <m:t>0</m:t>
        </m:r>
        <m:r>
          <m:rPr>
            <m:sty m:val="p"/>
          </m:rPr>
          <m:t>)</m:t>
        </m:r>
        <m:r>
          <m:rPr>
            <m:sty m:val="p"/>
          </m:rPr>
          <m:t>=</m:t>
        </m:r>
        <m:r>
          <m:rPr>
            <m:sty m:val="p"/>
          </m:rPr>
          <m:t>0</m:t>
        </m:r>
        <m:r>
          <m:rPr>
            <m:sty m:val="p"/>
          </m:rPr>
          <m:t>)</m:t>
        </m:r>
      </m:oMath>
      <w:r>
        <w:rPr/>
        <w:t xml:space="preserve"> et pour l'autre </w:t>
      </w:r>
      <m:oMath>
        <m:sSub>
          <m:sSubPr/>
          <m:e>
            <m:r>
              <m:rPr>
                <m:sty m:val="p"/>
              </m:rPr>
              <m:t>CI</m:t>
            </m:r>
          </m:e>
          <m:sub>
            <m:r>
              <m:rPr>
                <m:sty m:val="p"/>
              </m:rPr>
              <m:t>2</m:t>
            </m:r>
          </m:sub>
        </m:sSub>
        <m:r>
          <m:rPr>
            <m:sty m:val="p"/>
          </m:rPr>
          <m:t>(</m:t>
        </m:r>
        <m:r>
          <m:rPr>
            <m:sty m:val="i"/>
          </m:rPr>
          <m:t>θ</m:t>
        </m:r>
        <m:r>
          <m:rPr>
            <m:sty m:val="p"/>
          </m:rPr>
          <m:t>(</m:t>
        </m:r>
        <m:r>
          <m:rPr>
            <m:sty m:val="p"/>
          </m:rPr>
          <m:t>0</m:t>
        </m:r>
        <m:r>
          <m:rPr>
            <m:sty m:val="p"/>
          </m:rPr>
          <m:t>)</m:t>
        </m:r>
        <m:r>
          <m:rPr>
            <m:sty m:val="p"/>
          </m:rPr>
          <m:t>=</m:t>
        </m:r>
        <m:r>
          <m:rPr>
            <m:sty m:val="p"/>
          </m:rPr>
          <m:t>6</m:t>
        </m:r>
        <m:r>
          <m:rPr>
            <m:sty m:val="i"/>
          </m:rPr>
          <m:t>π</m:t>
        </m:r>
        <m:r>
          <m:rPr>
            <m:sty m:val="p"/>
          </m:rPr>
          <m:t>/</m:t>
        </m:r>
        <m:r>
          <m:rPr>
            <m:sty m:val="p"/>
          </m:rPr>
          <m:t>10</m:t>
        </m:r>
        <m:r>
          <m:rPr>
            <m:sty m:val="p"/>
          </m:rPr>
          <m:t>;</m:t>
        </m:r>
        <m:acc>
          <m:accPr>
            <m:chr m:val="˙"/>
          </m:accPr>
          <m:e>
            <m:r>
              <m:rPr>
                <m:sty m:val="i"/>
              </m:rPr>
              <m:t>θ</m:t>
            </m:r>
          </m:e>
        </m:acc>
        <m:r>
          <m:rPr>
            <m:sty m:val="p"/>
          </m:rPr>
          <m:t>(</m:t>
        </m:r>
        <m:r>
          <m:rPr>
            <m:sty m:val="p"/>
          </m:rPr>
          <m:t>0</m:t>
        </m:r>
        <m:r>
          <m:rPr>
            <m:sty m:val="p"/>
          </m:rPr>
          <m:t>)</m:t>
        </m:r>
        <m:r>
          <m:rPr>
            <m:sty m:val="p"/>
          </m:rPr>
          <m:t>=</m:t>
        </m:r>
        <m:r>
          <m:rPr>
            <m:sty m:val="p"/>
          </m:rPr>
          <m:t>0</m:t>
        </m:r>
        <m:r>
          <m:rPr>
            <m:sty m:val="p"/>
          </m:rPr>
          <m:t>)</m:t>
        </m:r>
      </m:oMath>
      <w:r>
        <w:rPr/>
        <w:t xml:space="preserve">.</w:t>
      </w:r>
    </w:p>
    <w:p>
      <w:pPr>
        <w:spacing w:lineRule="auto"/>
        <w:jc w:val="center"/>
      </w:pPr>
      <w:r>
        <w:rPr/>
        <w:drawing>
          <wp:inline distB="0" distL="0" distR="0" distT="0">
            <wp:extent cx="5486400" cy="2099967"/>
            <wp:effectExtent b="0" l="0" r="0" t="0"/>
            <wp:docPr id="3" name="image-75873b0d28512380aaa67c001206027952db450a.jpg"/>
            <a:graphic>
              <a:graphicData uri="http://schemas.openxmlformats.org/drawingml/2006/picture">
                <pic:pic>
                  <pic:nvPicPr>
                    <pic:cNvPr id="3" name="image-75873b0d28512380aaa67c001206027952db450a.jpg" descr=""/>
                    <pic:cNvPicPr/>
                  </pic:nvPicPr>
                  <pic:blipFill>
                    <a:blip r:embed="rId7" cstate="print"/>
                    <a:srcRect b="0" l="0" r="0" t="0"/>
                    <a:stretch>
                      <a:fillRect/>
                    </a:stretch>
                  </pic:blipFill>
                  <pic:spPr>
                    <a:xfrm>
                      <a:off x="0" y="0"/>
                      <a:ext cx="5486400" cy="2099967"/>
                    </a:xfrm>
                    <a:prstGeom prst="rect"/>
                  </pic:spPr>
                </pic:pic>
              </a:graphicData>
            </a:graphic>
          </wp:inline>
        </w:drawing>
      </w:r>
    </w:p>
    <w:p>
      <w:pPr>
        <w:spacing w:lineRule="auto"/>
      </w:pPr>
      <w:r>
        <w:rPr>
          <w:rFonts w:eastAsia="Georgia" w:cs="Georgia" w:ascii="Georgia" w:hAnsi="Georgia"/>
        </w:rPr>
        <w:t xml:space="preserve">Figure 3 - Réponses du pendule à la même excitation oscillante </w:t>
      </w:r>
      <m:oMath>
        <m:r>
          <m:rPr>
            <m:sty m:val="i"/>
          </m:rPr>
          <m:t>h</m:t>
        </m:r>
        <m:r>
          <m:rPr>
            <m:sty m:val="p"/>
          </m:rPr>
          <m:t>=</m:t>
        </m:r>
        <m:r>
          <m:rPr>
            <m:sty m:val="i"/>
          </m:rPr>
          <m:t>h</m:t>
        </m:r>
        <m:r>
          <m:rPr>
            <m:sty m:val="p"/>
          </m:rPr>
          <m:t>(</m:t>
        </m:r>
        <m:r>
          <m:rPr>
            <m:sty m:val="i"/>
          </m:rPr>
          <m:t>t</m:t>
        </m:r>
        <m:r>
          <m:rPr>
            <m:sty m:val="p"/>
          </m:rPr>
          <m:t>)</m:t>
        </m:r>
      </m:oMath>
      <w:r>
        <w:rPr>
          <w:rFonts w:eastAsia="Georgia" w:cs="Georgia" w:ascii="Georgia" w:hAnsi="Georgia"/>
        </w:rPr>
        <w:t xml:space="preserve"> du pivot A , mais pour des conditions initiales différentes.</w:t>
      </w:r>
    </w:p>
    <w:p>
      <w:pPr>
        <w:spacing w:after="220" w:lineRule="auto"/>
      </w:pPr>
      <w:r>
        <w:rPr>
          <w:rFonts w:eastAsia="Georgia" w:cs="Georgia" w:ascii="Georgia" w:hAnsi="Georgia"/>
        </w:rPr>
        <w:t xml:space="preserve">Pour un pendule ainsi excité, nous rappelons que l'équation différentielle vérifiée par l'angle </w:t>
      </w:r>
      <m:oMath>
        <m:r>
          <m:rPr>
            <m:sty m:val="i"/>
          </m:rPr>
          <m:t>θ</m:t>
        </m:r>
      </m:oMath>
      <w:r>
        <w:rPr/>
        <w:t xml:space="preserve"> prend la forme :</w:t>
      </w:r>
      <w:r>
        <w:rPr/>
        <w:br w:type="textWrapping"/>
      </w:r>
      <w:r>
        <w:rPr>
          <w:rFonts w:eastAsia="Georgia" w:cs="Georgia" w:ascii="Georgia" w:hAnsi="Georgia"/>
        </w:rPr>
        <w:t xml:space="preserve">18. Justifier que la forme de l'équation (6) permet d'envisager, a priori, l'existence de solutions oscillantes autour de l'angle </w:t>
      </w:r>
      <m:oMath>
        <m:r>
          <m:rPr>
            <m:sty m:val="i"/>
          </m:rPr>
          <m:t>π</m:t>
        </m:r>
      </m:oMath>
      <w:r>
        <w:rPr>
          <w:rFonts w:eastAsia="Georgia" w:cs="Georgia" w:ascii="Georgia" w:hAnsi="Georgia"/>
        </w:rPr>
        <w:t xml:space="preserve"> (tout au moins, de ne pas exclure d'emblée cette éventualité).</w:t>
      </w:r>
      <w:r>
        <w:rPr/>
        <w:br w:type="textWrapping"/>
      </w:r>
      <w:r>
        <w:rPr>
          <w:rFonts w:eastAsia="Georgia" w:cs="Georgia" w:ascii="Georgia" w:hAnsi="Georgia"/>
        </w:rPr>
        <w:t xml:space="preserve">19. Nous admettons (ce que nous justifierons par la suite) que la composante de haute fréquence est de la forme :</w:t>
      </w:r>
      <w:r>
        <w:rPr/>
        <w:br w:type="textWrapping"/>
      </w:r>
      <w:r>
        <w:rPr>
          <w:rFonts w:eastAsia="Georgia" w:cs="Georgia" w:ascii="Georgia" w:hAnsi="Georgia"/>
        </w:rPr>
        <w:t xml:space="preserve">16. Associer, à chacune des évolutions gauche et droite de la figure (3), la condition initiale </w:t>
      </w:r>
      <m:oMath>
        <m:sSub>
          <m:sSubPr/>
          <m:e>
            <m:r>
              <m:rPr>
                <m:sty m:val="p"/>
              </m:rPr>
              <m:t>CI</m:t>
            </m:r>
          </m:e>
          <m:sub>
            <m:r>
              <m:rPr>
                <m:sty m:val="p"/>
              </m:rPr>
              <m:t>1</m:t>
            </m:r>
          </m:sub>
        </m:sSub>
      </m:oMath>
      <w:r>
        <w:rPr/>
        <w:t xml:space="preserve"> ou </w:t>
      </w:r>
      <m:oMath>
        <m:sSub>
          <m:sSubPr/>
          <m:e>
            <m:r>
              <m:rPr>
                <m:sty m:val="p"/>
              </m:rPr>
              <m:t>CI</m:t>
            </m:r>
          </m:e>
          <m:sub>
            <m:r>
              <m:rPr>
                <m:sty m:val="p"/>
              </m:rPr>
              <m:t>2</m:t>
            </m:r>
          </m:sub>
        </m:sSub>
      </m:oMath>
      <w:r>
        <w:rPr>
          <w:rFonts w:eastAsia="Georgia" w:cs="Georgia" w:ascii="Georgia" w:hAnsi="Georgia"/>
        </w:rPr>
        <w:t xml:space="preserve"> qui lui correspond. Analyser ces évolutions.</w:t>
      </w:r>
      <w:r>
        <w:rPr/>
        <w:br w:type="textWrapping"/>
      </w:r>
      <w:r>
        <w:rPr>
          <w:rFonts w:eastAsia="Georgia" w:cs="Georgia" w:ascii="Georgia" w:hAnsi="Georgia"/>
        </w:rPr>
        <w:t xml:space="preserve">17. Extraire, des évolutions de la figure (3), la valeur de la période d'excitation </w:t>
      </w:r>
      <m:oMath>
        <m:sSub>
          <m:sSubPr/>
          <m:e>
            <m:r>
              <m:rPr>
                <m:sty m:val="i"/>
              </m:rPr>
              <m:t>T</m:t>
            </m:r>
          </m:e>
          <m:sub>
            <m:r>
              <m:rPr>
                <m:sty m:val="p"/>
              </m:rPr>
              <m:t>ex</m:t>
            </m:r>
          </m:sub>
        </m:sSub>
        <m:r>
          <m:rPr>
            <m:sty m:val="p"/>
          </m:rPr>
          <m:t>=</m:t>
        </m:r>
        <m:r>
          <m:rPr>
            <m:sty m:val="p"/>
          </m:rPr>
          <m:t>2</m:t>
        </m:r>
        <m:r>
          <m:rPr>
            <m:sty m:val="i"/>
          </m:rPr>
          <m:t>π</m:t>
        </m:r>
        <m:r>
          <m:rPr>
            <m:sty m:val="p"/>
          </m:rPr>
          <m:t>/</m:t>
        </m:r>
        <m:r>
          <m:rPr>
            <m:sty m:val="p"/>
          </m:rPr>
          <m:t>Ω</m:t>
        </m:r>
      </m:oMath>
      <w:r>
        <w:rPr/>
        <w:t xml:space="preserve">.</w:t>
      </w:r>
    </w:p>
    <w:p>
      <w:pPr>
        <w:numPr>
          <w:ilvl w:val="0"/>
          <w:numId w:val="8"/>
        </w:numPr>
        <w:spacing w:lineRule="auto"/>
      </w:pPr>
      <w:r>
        <w:rPr>
          <w:rFonts w:eastAsia="Georgia" w:cs="Georgia" w:ascii="Georgia" w:hAnsi="Georgia"/>
        </w:rPr>
        <w:t xml:space="preserve">Les évolutions présentées figure (3) font apparaître deux temps caractéristiques ce qui incite à décomposer la réponse </w:t>
      </w:r>
      <m:oMath>
        <m:r>
          <m:rPr>
            <m:sty m:val="i"/>
          </m:rPr>
          <m:t>θ</m:t>
        </m:r>
        <m:r>
          <m:rPr>
            <m:sty m:val="p"/>
          </m:rPr>
          <m:t>=</m:t>
        </m:r>
        <m:r>
          <m:rPr>
            <m:sty m:val="i"/>
          </m:rPr>
          <m:t>θ</m:t>
        </m:r>
        <m:r>
          <m:rPr>
            <m:sty m:val="p"/>
          </m:rPr>
          <m:t>(</m:t>
        </m:r>
        <m:r>
          <m:rPr>
            <m:sty m:val="i"/>
          </m:rPr>
          <m:t>t</m:t>
        </m:r>
        <m:r>
          <m:rPr>
            <m:sty m:val="p"/>
          </m:rPr>
          <m:t>)</m:t>
        </m:r>
      </m:oMath>
      <w:r>
        <w:rPr/>
        <w:t xml:space="preserve"> du pendule en deux termes :</w:t>
      </w:r>
    </w:p>
    <w:p>
      <w:pPr>
        <w:spacing w:after="220" w:lineRule="auto"/>
      </w:pPr>
      <m:oMathPara>
        <m:oMath>
          <m:r>
            <m:rPr>
              <m:sty m:val="i"/>
            </m:rPr>
            <m:t>θ</m:t>
          </m:r>
          <m:r>
            <m:rPr>
              <m:sty m:val="p"/>
            </m:rPr>
            <m:t>(</m:t>
          </m:r>
          <m:r>
            <m:rPr>
              <m:sty m:val="i"/>
            </m:rPr>
            <m:t>t</m:t>
          </m:r>
          <m:r>
            <m:rPr>
              <m:sty m:val="p"/>
            </m:rPr>
            <m:t>)</m:t>
          </m:r>
          <m:r>
            <m:rPr>
              <m:sty m:val="p"/>
            </m:rPr>
            <m:t>=</m:t>
          </m:r>
          <m:sSub>
            <m:sSubPr/>
            <m:e>
              <m:r>
                <m:rPr>
                  <m:sty m:val="i"/>
                </m:rPr>
                <m:t>θ</m:t>
              </m:r>
            </m:e>
            <m:sub>
              <m:r>
                <m:rPr>
                  <m:sty m:val="p"/>
                </m:rPr>
                <m:t>0</m:t>
              </m:r>
            </m:sub>
          </m:sSub>
          <m:r>
            <m:rPr>
              <m:sty m:val="p"/>
            </m:rPr>
            <m:t>(</m:t>
          </m:r>
          <m:r>
            <m:rPr>
              <m:sty m:val="i"/>
            </m:rPr>
            <m:t>t</m:t>
          </m:r>
          <m:r>
            <m:rPr>
              <m:sty m:val="p"/>
            </m:rPr>
            <m:t>)</m:t>
          </m:r>
          <m:r>
            <m:rPr>
              <m:sty m:val="p"/>
            </m:rPr>
            <m:t>+</m:t>
          </m:r>
          <m:sSub>
            <m:sSubPr/>
            <m:e>
              <m:r>
                <m:rPr>
                  <m:sty m:val="i"/>
                </m:rPr>
                <m:t>θ</m:t>
              </m:r>
            </m:e>
            <m:sub>
              <m:r>
                <m:rPr>
                  <m:sty m:val="p"/>
                </m:rPr>
                <m:t>1</m:t>
              </m:r>
            </m:sub>
          </m:sSub>
          <m:r>
            <m:rPr>
              <m:sty m:val="p"/>
            </m:rPr>
            <m:t>(</m:t>
          </m:r>
          <m:r>
            <m:rPr>
              <m:sty m:val="i"/>
            </m:rPr>
            <m:t>t</m:t>
          </m:r>
          <m:r>
            <m:rPr>
              <m:sty m:val="p"/>
            </m:rPr>
            <m:t>)</m:t>
          </m:r>
        </m:oMath>
      </m:oMathPara>
    </w:p>
    <w:p>
      <w:pPr>
        <w:spacing w:after="220" w:lineRule="auto"/>
      </w:pPr>
      <w:r>
        <w:rPr/>
        <w:t xml:space="preserve">La composante </w:t>
      </w:r>
      <m:oMath>
        <m:sSub>
          <m:sSubPr/>
          <m:e>
            <m:r>
              <m:rPr>
                <m:sty m:val="i"/>
              </m:rPr>
              <m:t>θ</m:t>
            </m:r>
          </m:e>
          <m:sub>
            <m:r>
              <m:rPr>
                <m:sty m:val="p"/>
              </m:rPr>
              <m:t>1</m:t>
            </m:r>
          </m:sub>
        </m:sSub>
      </m:oMath>
      <w:r>
        <w:rPr>
          <w:rFonts w:eastAsia="Georgia" w:cs="Georgia" w:ascii="Georgia" w:hAnsi="Georgia"/>
        </w:rPr>
        <w:t xml:space="preserve"> est la contribution oscillante de haute fréquence (pulsation </w:t>
      </w:r>
      <m:oMath>
        <m:r>
          <m:rPr>
            <m:sty m:val="p"/>
          </m:rPr>
          <m:t>Ω</m:t>
        </m:r>
      </m:oMath>
      <w:r>
        <w:rPr>
          <w:rFonts w:eastAsia="Georgia" w:cs="Georgia" w:ascii="Georgia" w:hAnsi="Georgia"/>
        </w:rPr>
        <w:t xml:space="preserve"> ) qui apparaît sur ces évolutions. La composante </w:t>
      </w:r>
      <m:oMath>
        <m:sSub>
          <m:sSubPr/>
          <m:e>
            <m:r>
              <m:rPr>
                <m:sty m:val="i"/>
              </m:rPr>
              <m:t>θ</m:t>
            </m:r>
          </m:e>
          <m:sub>
            <m:r>
              <m:rPr>
                <m:sty m:val="p"/>
              </m:rPr>
              <m:t>0</m:t>
            </m:r>
          </m:sub>
        </m:sSub>
      </m:oMath>
      <w:r>
        <w:rPr>
          <w:rFonts w:eastAsia="Georgia" w:cs="Georgia" w:ascii="Georgia" w:hAnsi="Georgia"/>
        </w:rPr>
        <w:t xml:space="preserve"> est assimilée à la moyenne de la variable </w:t>
      </w:r>
      <m:oMath>
        <m:r>
          <m:rPr>
            <m:sty m:val="i"/>
          </m:rPr>
          <m:t>θ</m:t>
        </m:r>
      </m:oMath>
      <w:r>
        <w:rPr/>
        <w:t xml:space="preserve"> sur </w:t>
      </w:r>
      <m:oMath>
        <m:sSub>
          <m:sSubPr/>
          <m:e>
            <m:r>
              <m:rPr>
                <m:sty m:val="i"/>
              </m:rPr>
              <m:t>T</m:t>
            </m:r>
          </m:e>
          <m:sub>
            <m:r>
              <m:rPr>
                <m:sty m:val="p"/>
              </m:rPr>
              <m:t>ex</m:t>
            </m:r>
          </m:sub>
        </m:sSub>
      </m:oMath>
      <w:r>
        <w:rPr>
          <w:rFonts w:eastAsia="Georgia" w:cs="Georgia" w:ascii="Georgia" w:hAnsi="Georgia"/>
        </w:rPr>
        <w:t xml:space="preserve">. Il s'agit d'une composante de basse fréquence à laquelle nous associerons, a priori, la pulsation caractéristique </w:t>
      </w:r>
      <m:oMath>
        <m:sSub>
          <m:sSubPr/>
          <m:e>
            <m:r>
              <m:rPr>
                <m:sty m:val="i"/>
              </m:rPr>
              <m:t>ω</m:t>
            </m:r>
          </m:e>
          <m:sub>
            <m:r>
              <m:rPr>
                <m:sty m:val="p"/>
              </m:rPr>
              <m:t>0</m:t>
            </m:r>
          </m:sub>
        </m:sSub>
      </m:oMath>
      <w:r>
        <w:rPr>
          <w:rFonts w:eastAsia="Georgia" w:cs="Georgia" w:ascii="Georgia" w:hAnsi="Georgia"/>
        </w:rPr>
        <w:t xml:space="preserve">. Son amplitude est supposée nettement supérieure à celle de </w:t>
      </w:r>
      <m:oMath>
        <m:sSub>
          <m:sSubPr/>
          <m:e>
            <m:r>
              <m:rPr>
                <m:sty m:val="i"/>
              </m:rPr>
              <m:t>θ</m:t>
            </m:r>
          </m:e>
          <m:sub>
            <m:r>
              <m:rPr>
                <m:sty m:val="p"/>
              </m:rPr>
              <m:t>1</m:t>
            </m:r>
          </m:sub>
        </m:sSub>
      </m:oMath>
      <w:r>
        <w:rPr/>
        <w:t xml:space="preserve">.</w:t>
      </w:r>
      <w:r>
        <w:rPr/>
        <w:br w:type="textWrapping"/>
      </w:r>
      <w:r>
        <w:rPr>
          <w:rFonts w:eastAsia="Georgia" w:cs="Georgia" w:ascii="Georgia" w:hAnsi="Georgia"/>
        </w:rPr>
        <w:t xml:space="preserve">Pour un pendule ainsi excité, nous rappelons que l'équation différentielle vérifiée par l'angle </w:t>
      </w:r>
      <m:oMath>
        <m:r>
          <m:rPr>
            <m:sty m:val="i"/>
          </m:rPr>
          <m:t>θ</m:t>
        </m:r>
      </m:oMath>
      <w:r>
        <w:rPr/>
        <w:t xml:space="preserve"> prend la forme :</w:t>
      </w:r>
    </w:p>
    <w:p>
      <w:pPr>
        <w:spacing w:after="220" w:lineRule="auto"/>
      </w:pPr>
      <m:oMathPara>
        <m:oMath>
          <m:acc>
            <m:accPr>
              <m:chr m:val="¨"/>
            </m:accPr>
            <m:e>
              <m:r>
                <m:rPr>
                  <m:sty m:val="i"/>
                </m:rPr>
                <m:t>θ</m:t>
              </m:r>
            </m:e>
          </m:acc>
          <m:r>
            <m:rPr>
              <m:sty m:val="p"/>
            </m:rPr>
            <m:t>+</m:t>
          </m:r>
          <m:sSubSup>
            <m:sSubSupPr/>
            <m:e>
              <m:r>
                <m:rPr>
                  <m:sty m:val="i"/>
                </m:rPr>
                <m:t>ω</m:t>
              </m:r>
            </m:e>
            <m:sub>
              <m:r>
                <m:rPr>
                  <m:sty m:val="p"/>
                </m:rPr>
                <m:t>0</m:t>
              </m:r>
            </m:sub>
            <m:sup>
              <m:r>
                <m:rPr>
                  <m:sty m:val="p"/>
                </m:rPr>
                <m:t>2</m:t>
              </m:r>
            </m:sup>
          </m:sSubSup>
          <m:d>
            <m:dPr>
              <m:begChr m:val="("/>
              <m:endChr m:val=")"/>
              <m:ctrlPr>
                <w:rPr>
                  <w:rFonts w:ascii="Cambria Math" w:hAnsi="Cambria Math"/>
                </w:rPr>
              </m:ctrlPr>
            </m:dPr>
            <m:e>
              <m:r>
                <m:rPr>
                  <m:sty m:val="p"/>
                </m:rPr>
                <m:t>1</m:t>
              </m:r>
              <m:r>
                <m:rPr>
                  <m:sty m:val="p"/>
                </m:rPr>
                <m:t>+</m:t>
              </m:r>
              <m:sSub>
                <m:sSubPr/>
                <m:e>
                  <m:r>
                    <m:rPr>
                      <m:sty m:val="i"/>
                    </m:rPr>
                    <m:t>G</m:t>
                  </m:r>
                </m:e>
                <m:sub>
                  <m:r>
                    <m:rPr>
                      <m:sty m:val="p"/>
                    </m:rPr>
                    <m:t>0</m:t>
                  </m:r>
                </m:sub>
              </m:sSub>
              <m:r>
                <m:rPr>
                  <m:sty m:val="p"/>
                </m:rPr>
                <m:t>sin</m:t>
              </m:r>
              <m:r>
                <m:rPr>
                  <m:sty m:val="p"/>
                </m:rPr>
                <m:t>⁡</m:t>
              </m:r>
              <m:r>
                <m:rPr>
                  <m:sty m:val="i"/>
                </m:rPr>
                <m:t>ψ</m:t>
              </m:r>
            </m:e>
          </m:d>
          <m:r>
            <m:rPr>
              <m:sty m:val="p"/>
            </m:rPr>
            <m:t>sin</m:t>
          </m:r>
          <m:r>
            <m:rPr>
              <m:sty m:val="p"/>
            </m:rPr>
            <m:t>⁡</m:t>
          </m:r>
          <m:r>
            <m:rPr>
              <m:sty m:val="i"/>
            </m:rPr>
            <m:t>θ</m:t>
          </m:r>
          <m:r>
            <m:rPr>
              <m:sty m:val="p"/>
            </m:rPr>
            <m:t>=</m:t>
          </m:r>
          <m:r>
            <m:rPr>
              <m:sty m:val="p"/>
            </m:rPr>
            <m:t>0</m:t>
          </m:r>
          <m:r>
            <m:rPr>
              <m:sty m:val="p"/>
            </m:rPr>
            <m:t xml:space="preserve"> </m:t>
          </m:r>
          <m:r>
            <m:rPr>
              <m:nor/>
            </m:rPr>
            <m:t> où </m:t>
          </m:r>
          <m:r>
            <m:rPr>
              <m:sty m:val="p"/>
            </m:rPr>
            <m:t xml:space="preserve"> </m:t>
          </m:r>
          <m:sSub>
            <m:sSubPr/>
            <m:e>
              <m:r>
                <m:rPr>
                  <m:sty m:val="i"/>
                </m:rPr>
                <m:t>G</m:t>
              </m:r>
            </m:e>
            <m:sub>
              <m:r>
                <m:rPr>
                  <m:sty m:val="p"/>
                </m:rPr>
                <m:t>0</m:t>
              </m:r>
            </m:sub>
          </m:sSub>
          <m:r>
            <m:rPr>
              <m:sty m:val="p"/>
            </m:rPr>
            <m:t>=</m:t>
          </m:r>
          <m:f>
            <m:fPr>
              <m:ctrlPr>
                <w:rPr>
                  <w:rFonts w:ascii="Cambria Math" w:hAnsi="Cambria Math"/>
                </w:rPr>
              </m:ctrlPr>
            </m:fPr>
            <m:num>
              <m:r>
                <m:rPr>
                  <m:sty m:val="i"/>
                </m:rPr>
                <m:t>a</m:t>
              </m:r>
              <m:sSup>
                <m:sSupPr/>
                <m:e>
                  <m:r>
                    <m:rPr>
                      <m:sty m:val="p"/>
                    </m:rPr>
                    <m:t>Ω</m:t>
                  </m:r>
                </m:e>
                <m:sup>
                  <m:r>
                    <m:rPr>
                      <m:sty m:val="p"/>
                    </m:rPr>
                    <m:t>2</m:t>
                  </m:r>
                </m:sup>
              </m:sSup>
            </m:num>
            <m:den>
              <m:r>
                <m:rPr>
                  <m:sty m:val="i"/>
                </m:rPr>
                <m:t>g</m:t>
              </m:r>
            </m:den>
          </m:f>
        </m:oMath>
      </m:oMathPara>
    </w:p>
    <w:p>
      <w:pPr>
        <w:spacing w:line="271" w:before="330" w:lineRule="auto"/>
      </w:pPr>
      <w:r>
        <w:rPr>
          <w:b/>
          <w:sz w:val="42"/>
        </w:rPr>
        <w:t xml:space="preserve">\subsection*{2.1 Analyse qualitative.}</w:t>
      </w:r>
      <w:r>
        <w:rPr>
          <w:b/>
          <w:sz w:val="42"/>
        </w:rPr>
        <w:br w:type="textWrapping"/>
      </w:r>
      <w:r>
        <w:rPr>
          <w:b/>
          <w:sz w:val="42"/>
        </w:rPr>
        <w:t xml:space="preserve"> 2.1 Analyse qualitative.</w:t>
      </w:r>
    </w:p>
    <w:p>
      <w:pPr>
        <w:numPr>
          <w:ilvl w:val="0"/>
          <w:numId w:val="9"/>
        </w:numPr>
        <w:spacing w:lineRule="auto"/>
      </w:pPr>
      <w:r>
        <w:rPr>
          <w:rFonts w:eastAsia="Georgia" w:cs="Georgia" w:ascii="Georgia" w:hAnsi="Georgia"/>
        </w:rPr>
        <w:t xml:space="preserve">Justifier que la forme de l'équation (6) permet d'envisager, a priori, l'existence de solutions oscillantes autour de l'angle </w:t>
      </w:r>
      <m:oMath>
        <m:r>
          <m:rPr>
            <m:sty m:val="i"/>
          </m:rPr>
          <m:t>π</m:t>
        </m:r>
      </m:oMath>
      <w:r>
        <w:rPr>
          <w:rFonts w:eastAsia="Georgia" w:cs="Georgia" w:ascii="Georgia" w:hAnsi="Georgia"/>
        </w:rPr>
        <w:t xml:space="preserve"> (tout au moins, de ne pas exclure d'emblée cette éventualité).</w:t>
      </w:r>
    </w:p>
    <w:p>
      <w:pPr>
        <w:numPr>
          <w:ilvl w:val="0"/>
          <w:numId w:val="9"/>
        </w:numPr>
        <w:spacing w:lineRule="auto"/>
      </w:pPr>
      <w:r>
        <w:rPr>
          <w:rFonts w:eastAsia="Georgia" w:cs="Georgia" w:ascii="Georgia" w:hAnsi="Georgia"/>
        </w:rPr>
        <w:t xml:space="preserve">Nous admettons (ce que nous justifierons par la suite) que la composante de haute fréquence est de la forme :</w:t>
      </w:r>
    </w:p>
    <w:p>
      <w:pPr>
        <w:spacing w:after="220" w:lineRule="auto"/>
      </w:pPr>
      <m:oMathPara>
        <m:oMath>
          <m:sSub>
            <m:sSubPr/>
            <m:e>
              <m:r>
                <m:rPr>
                  <m:sty m:val="i"/>
                </m:rPr>
                <m:t>θ</m:t>
              </m:r>
            </m:e>
            <m:sub>
              <m:r>
                <m:rPr>
                  <m:sty m:val="p"/>
                </m:rPr>
                <m:t>1</m:t>
              </m:r>
            </m:sub>
          </m:sSub>
          <m:r>
            <m:rPr>
              <m:sty m:val="p"/>
            </m:rPr>
            <m:t>=</m:t>
          </m:r>
          <m:sSub>
            <m:sSubPr/>
            <m:e>
              <m:r>
                <m:rPr>
                  <m:sty m:val="i"/>
                </m:rPr>
                <m:t>ε</m:t>
              </m:r>
            </m:e>
            <m:sub>
              <m:r>
                <m:rPr>
                  <m:sty m:val="p"/>
                </m:rPr>
                <m:t>1</m:t>
              </m:r>
            </m:sub>
          </m:sSub>
          <m:r>
            <m:rPr>
              <m:sty m:val="p"/>
            </m:rPr>
            <m:t>sin</m:t>
          </m:r>
          <m:r>
            <m:rPr>
              <m:sty m:val="p"/>
            </m:rPr>
            <m:t>⁡</m:t>
          </m:r>
          <m:r>
            <m:rPr>
              <m:sty m:val="i"/>
            </m:rPr>
            <m:t>ψ</m:t>
          </m:r>
          <m:r>
            <m:rPr>
              <m:sty m:val="p"/>
            </m:rPr>
            <m:t xml:space="preserve"> </m:t>
          </m:r>
          <m:r>
            <m:rPr>
              <m:nor/>
            </m:rPr>
            <m:t> où </m:t>
          </m:r>
          <m:r>
            <m:rPr>
              <m:sty m:val="p"/>
            </m:rPr>
            <m:t xml:space="preserve"> </m:t>
          </m:r>
          <m:sSub>
            <m:sSubPr/>
            <m:e>
              <m:r>
                <m:rPr>
                  <m:sty m:val="i"/>
                </m:rPr>
                <m:t>ε</m:t>
              </m:r>
            </m:e>
            <m:sub>
              <m:r>
                <m:rPr>
                  <m:sty m:val="p"/>
                </m:rPr>
                <m:t>1</m:t>
              </m:r>
            </m:sub>
          </m:sSub>
          <m:r>
            <m:rPr>
              <m:sty m:val="p"/>
            </m:rPr>
            <m:t>=</m:t>
          </m:r>
          <m:sSub>
            <m:sSubPr/>
            <m:e>
              <m:r>
                <m:rPr>
                  <m:sty m:val="i"/>
                </m:rPr>
                <m:t>ε</m:t>
              </m:r>
            </m:e>
            <m:sub>
              <m:r>
                <m:rPr>
                  <m:sty m:val="p"/>
                </m:rPr>
                <m:t>1</m:t>
              </m:r>
            </m:sub>
          </m:sSub>
          <m:d>
            <m:dPr>
              <m:begChr m:val="("/>
              <m:endChr m:val=")"/>
              <m:ctrlPr>
                <w:rPr>
                  <w:rFonts w:ascii="Cambria Math" w:hAnsi="Cambria Math"/>
                </w:rPr>
              </m:ctrlPr>
            </m:dPr>
            <m:e>
              <m:sSub>
                <m:sSubPr/>
                <m:e>
                  <m:r>
                    <m:rPr>
                      <m:sty m:val="i"/>
                    </m:rPr>
                    <m:t>θ</m:t>
                  </m:r>
                </m:e>
                <m:sub>
                  <m:r>
                    <m:rPr>
                      <m:sty m:val="p"/>
                    </m:rPr>
                    <m:t>0</m:t>
                  </m:r>
                </m:sub>
              </m:sSub>
            </m:e>
          </m:d>
          <m:r>
            <m:rPr>
              <m:sty m:val="p"/>
            </m:rPr>
            <m:t xml:space="preserve"> </m:t>
          </m:r>
          <m:r>
            <m:rPr>
              <m:nor/>
            </m:rPr>
            <m:t> et </m:t>
          </m:r>
          <m:r>
            <m:rPr>
              <m:sty m:val="p"/>
            </m:rPr>
            <m:t xml:space="preserve"> </m:t>
          </m:r>
          <m:d>
            <m:dPr>
              <m:begChr m:val="|"/>
              <m:endChr m:val="|"/>
              <m:ctrlPr>
                <w:rPr>
                  <w:rFonts w:ascii="Cambria Math" w:hAnsi="Cambria Math"/>
                </w:rPr>
              </m:ctrlPr>
            </m:dPr>
            <m:e>
              <m:sSub>
                <m:sSubPr/>
                <m:e>
                  <m:r>
                    <m:rPr>
                      <m:sty m:val="i"/>
                    </m:rPr>
                    <m:t>ε</m:t>
                  </m:r>
                </m:e>
                <m:sub>
                  <m:r>
                    <m:rPr>
                      <m:sty m:val="p"/>
                    </m:rPr>
                    <m:t>1</m:t>
                  </m:r>
                </m:sub>
              </m:sSub>
            </m:e>
          </m:d>
          <m:r>
            <m:rPr>
              <m:sty m:val="p"/>
            </m:rPr>
            <m:t>≪</m:t>
          </m:r>
          <m:r>
            <m:rPr>
              <m:sty m:val="p"/>
            </m:rPr>
            <m:t>1</m:t>
          </m:r>
        </m:oMath>
      </m:oMathPara>
    </w:p>
    <w:p>
      <w:pPr>
        <w:spacing w:after="220" w:lineRule="auto"/>
      </w:pPr>
      <w:r>
        <w:rPr>
          <w:rFonts w:eastAsia="Georgia" w:cs="Georgia" w:ascii="Georgia" w:hAnsi="Georgia"/>
        </w:rPr>
        <w:t xml:space="preserve">Exprimer le moment algébrique moyen </w:t>
      </w:r>
      <m:oMath>
        <m:r>
          <m:rPr>
            <m:sty m:val="p"/>
          </m:rPr>
          <m:t>Γ</m:t>
        </m:r>
        <m:d>
          <m:dPr>
            <m:begChr m:val="("/>
            <m:endChr m:val=")"/>
            <m:ctrlPr>
              <w:rPr>
                <w:rFonts w:ascii="Cambria Math" w:hAnsi="Cambria Math"/>
              </w:rPr>
            </m:ctrlPr>
          </m:dPr>
          <m:e>
            <m:sSub>
              <m:sSubPr/>
              <m:e>
                <m:r>
                  <m:rPr>
                    <m:sty m:val="i"/>
                  </m:rPr>
                  <m:t>θ</m:t>
                </m:r>
              </m:e>
              <m:sub>
                <m:r>
                  <m:rPr>
                    <m:sty m:val="p"/>
                  </m:rPr>
                  <m:t>0</m:t>
                </m:r>
              </m:sub>
            </m:sSub>
          </m:e>
        </m:d>
      </m:oMath>
      <w:r>
        <w:rPr/>
        <w:t xml:space="preserve">, par rapport au point mobile A, auquel le pendule est soumis, pour l'angle </w:t>
      </w:r>
      <m:oMath>
        <m:sSub>
          <m:sSubPr/>
          <m:e>
            <m:r>
              <m:rPr>
                <m:sty m:val="i"/>
              </m:rPr>
              <m:t>θ</m:t>
            </m:r>
          </m:e>
          <m:sub>
            <m:r>
              <m:rPr>
                <m:sty m:val="p"/>
              </m:rPr>
              <m:t>0</m:t>
            </m:r>
          </m:sub>
        </m:sSub>
      </m:oMath>
      <w:r>
        <w:rPr>
          <w:rFonts w:eastAsia="Georgia" w:cs="Georgia" w:ascii="Georgia" w:hAnsi="Georgia"/>
        </w:rPr>
        <w:t xml:space="preserve">. Nous définissons ce moment moyen simplement comme la demi-somme des moments correspondants à </w:t>
      </w:r>
      <m:oMath>
        <m:r>
          <m:rPr>
            <m:sty m:val="i"/>
          </m:rPr>
          <m:t>ψ</m:t>
        </m:r>
        <m:r>
          <m:rPr>
            <m:sty m:val="p"/>
          </m:rPr>
          <m:t>=</m:t>
        </m:r>
        <m:r>
          <m:rPr>
            <m:sty m:val="p"/>
          </m:rPr>
          <m:t>−</m:t>
        </m:r>
        <m:r>
          <m:rPr>
            <m:sty m:val="i"/>
          </m:rPr>
          <m:t>π</m:t>
        </m:r>
        <m:r>
          <m:rPr>
            <m:sty m:val="p"/>
          </m:rPr>
          <m:t>/</m:t>
        </m:r>
        <m:r>
          <m:rPr>
            <m:sty m:val="p"/>
          </m:rPr>
          <m:t>2</m:t>
        </m:r>
      </m:oMath>
      <w:r>
        <w:rPr/>
        <w:t xml:space="preserve"> et </w:t>
      </w:r>
      <m:oMath>
        <m:r>
          <m:rPr>
            <m:sty m:val="i"/>
          </m:rPr>
          <m:t>ψ</m:t>
        </m:r>
        <m:r>
          <m:rPr>
            <m:sty m:val="p"/>
          </m:rPr>
          <m:t>=</m:t>
        </m:r>
        <m:r>
          <m:rPr>
            <m:sty m:val="p"/>
          </m:rPr>
          <m:t>+</m:t>
        </m:r>
        <m:r>
          <m:rPr>
            <m:sty m:val="i"/>
          </m:rPr>
          <m:t>π</m:t>
        </m:r>
        <m:r>
          <m:rPr>
            <m:sty m:val="p"/>
          </m:rPr>
          <m:t>/</m:t>
        </m:r>
        <m:r>
          <m:rPr>
            <m:sty m:val="p"/>
          </m:rPr>
          <m:t>2</m:t>
        </m:r>
      </m:oMath>
      <w:r>
        <w:rPr/>
        <w:t xml:space="preserve">. On exprimera ce moment en fonction de </w:t>
      </w:r>
      <m:oMath>
        <m:sSup>
          <m:sSupPr/>
          <m:e>
            <m:r>
              <m:rPr>
                <m:sty m:val="p"/>
              </m:rPr>
              <m:t>Γ</m:t>
            </m:r>
          </m:e>
          <m:sup>
            <m:r>
              <m:rPr>
                <m:sty m:val="p"/>
              </m:rPr>
              <m:t>⋆</m:t>
            </m:r>
          </m:sup>
        </m:sSup>
        <m:r>
          <m:rPr>
            <m:sty m:val="p"/>
          </m:rPr>
          <m:t>=</m:t>
        </m:r>
        <m:r>
          <m:rPr>
            <m:sty m:val="i"/>
          </m:rPr>
          <m:t>m</m:t>
        </m:r>
        <m:sSup>
          <m:sSupPr/>
          <m:e>
            <m:r>
              <m:rPr>
                <m:sty m:val="i"/>
              </m:rPr>
              <m:t>ℓ</m:t>
            </m:r>
          </m:e>
          <m:sup>
            <m:r>
              <m:rPr>
                <m:sty m:val="p"/>
              </m:rPr>
              <m:t>2</m:t>
            </m:r>
          </m:sup>
        </m:sSup>
        <m:sSubSup>
          <m:sSubSupPr/>
          <m:e>
            <m:r>
              <m:rPr>
                <m:sty m:val="i"/>
              </m:rPr>
              <m:t>ω</m:t>
            </m:r>
          </m:e>
          <m:sub>
            <m:r>
              <m:rPr>
                <m:sty m:val="p"/>
              </m:rPr>
              <m:t>0</m:t>
            </m:r>
          </m:sub>
          <m:sup>
            <m:r>
              <m:rPr>
                <m:sty m:val="p"/>
              </m:rPr>
              <m:t>2</m:t>
            </m:r>
          </m:sup>
        </m:sSubSup>
        <m:r>
          <m:rPr>
            <m:sty m:val="p"/>
          </m:rPr>
          <m:t>,</m:t>
        </m:r>
        <m:sSub>
          <m:sSubPr/>
          <m:e>
            <m:r>
              <m:rPr>
                <m:sty m:val="i"/>
              </m:rPr>
              <m:t>G</m:t>
            </m:r>
          </m:e>
          <m:sub>
            <m:r>
              <m:rPr>
                <m:sty m:val="p"/>
              </m:rPr>
              <m:t>0</m:t>
            </m:r>
          </m:sub>
        </m:sSub>
        <m:r>
          <m:rPr>
            <m:sty m:val="p"/>
          </m:rPr>
          <m:t>,</m:t>
        </m:r>
        <m:sSub>
          <m:sSubPr/>
          <m:e>
            <m:r>
              <m:rPr>
                <m:sty m:val="i"/>
              </m:rPr>
              <m:t>θ</m:t>
            </m:r>
          </m:e>
          <m:sub>
            <m:r>
              <m:rPr>
                <m:sty m:val="p"/>
              </m:rPr>
              <m:t>0</m:t>
            </m:r>
          </m:sub>
        </m:sSub>
      </m:oMath>
      <w:r>
        <w:rPr/>
        <w:t xml:space="preserve"> et </w:t>
      </w:r>
      <m:oMath>
        <m:sSub>
          <m:sSubPr/>
          <m:e>
            <m:r>
              <m:rPr>
                <m:sty m:val="i"/>
              </m:rPr>
              <m:t>ε</m:t>
            </m:r>
          </m:e>
          <m:sub>
            <m:r>
              <m:rPr>
                <m:sty m:val="p"/>
              </m:rPr>
              <m:t>1</m:t>
            </m:r>
          </m:sub>
        </m:sSub>
      </m:oMath>
      <w:r>
        <w:rPr>
          <w:rFonts w:eastAsia="Georgia" w:cs="Georgia" w:ascii="Georgia" w:hAnsi="Georgia"/>
        </w:rPr>
        <w:t xml:space="preserve">. Ces calculs seront menés au premier ordre par rapport à </w:t>
      </w:r>
      <m:oMath>
        <m:sSub>
          <m:sSubPr/>
          <m:e>
            <m:r>
              <m:rPr>
                <m:sty m:val="i"/>
              </m:rPr>
              <m:t>ε</m:t>
            </m:r>
          </m:e>
          <m:sub>
            <m:r>
              <m:rPr>
                <m:sty m:val="p"/>
              </m:rPr>
              <m:t>1</m:t>
            </m:r>
          </m:sub>
        </m:sSub>
      </m:oMath>
      <w:r>
        <w:rPr/>
        <w:t xml:space="preserve">.</w:t>
      </w:r>
      <w:r>
        <w:rPr/>
        <w:br w:type="textWrapping"/>
      </w:r>
      <w:r>
        <w:rPr/>
        <w:t xml:space="preserve">20. En raisonnant pour </w:t>
      </w:r>
      <m:oMath>
        <m:d>
          <m:dPr>
            <m:begChr m:val=""/>
            <m:endChr m:val="]"/>
            <m:ctrlPr>
              <w:rPr>
                <w:rFonts w:ascii="Cambria Math" w:hAnsi="Cambria Math"/>
              </w:rPr>
            </m:ctrlPr>
          </m:dPr>
          <m:e>
            <m:sSub>
              <m:sSubPr/>
              <m:e>
                <m:r>
                  <m:rPr>
                    <m:sty m:val="i"/>
                  </m:rPr>
                  <m:t>θ</m:t>
                </m:r>
              </m:e>
              <m:sub>
                <m:r>
                  <m:rPr>
                    <m:sty m:val="p"/>
                  </m:rPr>
                  <m:t>0</m:t>
                </m:r>
              </m:sub>
            </m:sSub>
            <m:r>
              <m:rPr>
                <m:sty m:val="p"/>
              </m:rPr>
              <m:t>∈</m:t>
            </m:r>
          </m:e>
        </m:d>
        <m:r>
          <m:rPr>
            <m:sty m:val="i"/>
          </m:rPr>
          <m:t>π</m:t>
        </m:r>
        <m:r>
          <m:rPr>
            <m:sty m:val="p"/>
          </m:rPr>
          <m:t>/</m:t>
        </m:r>
        <m:r>
          <m:rPr>
            <m:sty m:val="p"/>
          </m:rPr>
          <m:t>2</m:t>
        </m:r>
        <m:r>
          <m:rPr>
            <m:sty m:val="p"/>
          </m:rPr>
          <m:t>,</m:t>
        </m:r>
        <m:r>
          <m:rPr>
            <m:sty m:val="i"/>
          </m:rPr>
          <m:t>π</m:t>
        </m:r>
        <m:r>
          <m:rPr>
            <m:sty m:val="p"/>
          </m:rPr>
          <m:t>[</m:t>
        </m:r>
      </m:oMath>
      <w:r>
        <w:rPr>
          <w:rFonts w:eastAsia="Georgia" w:cs="Georgia" w:ascii="Georgia" w:hAnsi="Georgia"/>
        </w:rPr>
        <w:t xml:space="preserve">, préciser à quelle condition l'excitation est susceptible de contrebalancer l'effet de la gravité.</w:t>
      </w:r>
      <w:r>
        <w:rPr/>
        <w:br w:type="textWrapping"/>
      </w:r>
      <w:r>
        <w:rPr>
          <w:rFonts w:eastAsia="Georgia" w:cs="Georgia" w:ascii="Georgia" w:hAnsi="Georgia"/>
        </w:rPr>
        <w:t xml:space="preserve">21. Justifier que, pour espérer obtenir une solution oscillante autour de l'angle </w:t>
      </w:r>
      <m:oMath>
        <m:r>
          <m:rPr>
            <m:sty m:val="i"/>
          </m:rPr>
          <m:t>π</m:t>
        </m:r>
        <m:r>
          <m:rPr>
            <m:sty m:val="p"/>
          </m:rPr>
          <m:t>,</m:t>
        </m:r>
        <m:sSub>
          <m:sSubPr/>
          <m:e>
            <m:r>
              <m:rPr>
                <m:sty m:val="i"/>
              </m:rPr>
              <m:t>ε</m:t>
            </m:r>
          </m:e>
          <m:sub>
            <m:r>
              <m:rPr>
                <m:sty m:val="p"/>
              </m:rPr>
              <m:t>1</m:t>
            </m:r>
          </m:sub>
        </m:sSub>
      </m:oMath>
      <w:r>
        <w:rPr>
          <w:rFonts w:eastAsia="Georgia" w:cs="Georgia" w:ascii="Georgia" w:hAnsi="Georgia"/>
        </w:rPr>
        <w:t xml:space="preserve"> doit être une fonction positive sur l'intervalle </w:t>
      </w:r>
      <m:oMath>
        <m:r>
          <m:rPr>
            <m:sty m:val="p"/>
          </m:rPr>
          <m:t>]</m:t>
        </m:r>
        <m:r>
          <m:rPr>
            <m:sty m:val="i"/>
          </m:rPr>
          <m:t>π</m:t>
        </m:r>
        <m:r>
          <m:rPr>
            <m:sty m:val="p"/>
          </m:rPr>
          <m:t>/</m:t>
        </m:r>
        <m:r>
          <m:rPr>
            <m:sty m:val="p"/>
          </m:rPr>
          <m:t>2</m:t>
        </m:r>
        <m:r>
          <m:rPr>
            <m:sty m:val="p"/>
          </m:rPr>
          <m:t>,</m:t>
        </m:r>
        <m:r>
          <m:rPr>
            <m:sty m:val="i"/>
          </m:rPr>
          <m:t>π</m:t>
        </m:r>
        <m:d>
          <m:dPr>
            <m:begChr m:val="["/>
            <m:endChr m:val=""/>
            <m:ctrlPr>
              <w:rPr>
                <w:rFonts w:ascii="Cambria Math" w:hAnsi="Cambria Math"/>
              </w:rPr>
            </m:ctrlPr>
          </m:dPr>
          <m:e/>
        </m:d>
      </m:oMath>
      <w:r>
        <w:rPr/>
        <w:t xml:space="preserve"> et qu'elle doit changer de signe pour </w:t>
      </w:r>
      <m:oMath>
        <m:sSub>
          <m:sSubPr/>
          <m:e>
            <m:r>
              <m:rPr>
                <m:sty m:val="i"/>
              </m:rPr>
              <m:t>θ</m:t>
            </m:r>
          </m:e>
          <m:sub>
            <m:r>
              <m:rPr>
                <m:sty m:val="p"/>
              </m:rPr>
              <m:t>0</m:t>
            </m:r>
          </m:sub>
        </m:sSub>
        <m:r>
          <m:rPr>
            <m:sty m:val="p"/>
          </m:rPr>
          <m:t>=</m:t>
        </m:r>
        <m:r>
          <m:rPr>
            <m:sty m:val="i"/>
          </m:rPr>
          <m:t>π</m:t>
        </m:r>
      </m:oMath>
      <w:r>
        <w:rPr/>
        <w:t xml:space="preserve">.</w:t>
      </w:r>
    </w:p>
    <w:p>
      <w:pPr>
        <w:spacing w:line="271" w:before="240" w:lineRule="auto"/>
      </w:pPr>
      <w:r>
        <w:rPr>
          <w:rFonts w:eastAsia="Georgia" w:cs="Georgia" w:ascii="Georgia" w:hAnsi="Georgia"/>
          <w:b/>
          <w:sz w:val="33"/>
        </w:rPr>
        <w:t xml:space="preserve">2.2 Interprétation énergétique.</w:t>
      </w:r>
    </w:p>
    <w:p>
      <w:pPr>
        <w:spacing w:after="220" w:lineRule="auto"/>
      </w:pPr>
      <w:r>
        <w:rPr>
          <w:rFonts w:eastAsia="Georgia" w:cs="Georgia" w:ascii="Georgia" w:hAnsi="Georgia"/>
        </w:rPr>
        <w:t xml:space="preserve">Il s'agit, dans un premier temps, d'accéder à la dépendance de la fonction </w:t>
      </w:r>
      <m:oMath>
        <m:sSub>
          <m:sSubPr/>
          <m:e>
            <m:r>
              <m:rPr>
                <m:sty m:val="i"/>
              </m:rPr>
              <m:t>θ</m:t>
            </m:r>
          </m:e>
          <m:sub>
            <m:r>
              <m:rPr>
                <m:sty m:val="p"/>
              </m:rPr>
              <m:t>1</m:t>
            </m:r>
          </m:sub>
        </m:sSub>
      </m:oMath>
      <w:r>
        <w:rPr>
          <w:rFonts w:eastAsia="Georgia" w:cs="Georgia" w:ascii="Georgia" w:hAnsi="Georgia"/>
        </w:rPr>
        <w:t xml:space="preserve"> par rapport à </w:t>
      </w:r>
      <m:oMath>
        <m:r>
          <m:rPr>
            <m:sty m:val="i"/>
          </m:rPr>
          <m:t>h</m:t>
        </m:r>
        <m:r>
          <m:rPr>
            <m:sty m:val="p"/>
          </m:rPr>
          <m:t>(</m:t>
        </m:r>
        <m:r>
          <m:rPr>
            <m:sty m:val="i"/>
          </m:rPr>
          <m:t>t</m:t>
        </m:r>
        <m:r>
          <m:rPr>
            <m:sty m:val="p"/>
          </m:rPr>
          <m:t>)</m:t>
        </m:r>
      </m:oMath>
      <w:r>
        <w:rPr/>
        <w:t xml:space="preserve"> et </w:t>
      </w:r>
      <m:oMath>
        <m:sSub>
          <m:sSubPr/>
          <m:e>
            <m:r>
              <m:rPr>
                <m:sty m:val="i"/>
              </m:rPr>
              <m:t>θ</m:t>
            </m:r>
          </m:e>
          <m:sub>
            <m:r>
              <m:rPr>
                <m:sty m:val="p"/>
              </m:rPr>
              <m:t>0</m:t>
            </m:r>
          </m:sub>
        </m:sSub>
        <m:r>
          <m:rPr>
            <m:sty m:val="p"/>
          </m:rPr>
          <m:t>(</m:t>
        </m:r>
        <m:r>
          <m:rPr>
            <m:sty m:val="i"/>
          </m:rPr>
          <m:t>t</m:t>
        </m:r>
        <m:r>
          <m:rPr>
            <m:sty m:val="p"/>
          </m:rPr>
          <m:t>)</m:t>
        </m:r>
      </m:oMath>
      <w:r>
        <w:rPr/>
        <w:t xml:space="preserve">, dans la limite </w:t>
      </w:r>
      <m:oMath>
        <m:r>
          <m:rPr>
            <m:sty m:val="i"/>
          </m:rPr>
          <m:t>a</m:t>
        </m:r>
        <m:r>
          <m:rPr>
            <m:sty m:val="p"/>
          </m:rPr>
          <m:t>≪</m:t>
        </m:r>
        <m:r>
          <m:rPr>
            <m:sty m:val="i"/>
          </m:rPr>
          <m:t>ℓ</m:t>
        </m:r>
      </m:oMath>
      <w:r>
        <w:rPr/>
        <w:t xml:space="preserve"> et </w:t>
      </w:r>
      <m:oMath>
        <m:r>
          <m:rPr>
            <m:sty m:val="p"/>
          </m:rPr>
          <m:t>Ω</m:t>
        </m:r>
        <m:r>
          <m:rPr>
            <m:sty m:val="p"/>
          </m:rPr>
          <m:t>≫</m:t>
        </m:r>
        <m:sSub>
          <m:sSubPr/>
          <m:e>
            <m:r>
              <m:rPr>
                <m:sty m:val="i"/>
              </m:rPr>
              <m:t>ω</m:t>
            </m:r>
          </m:e>
          <m:sub>
            <m:r>
              <m:rPr>
                <m:sty m:val="p"/>
              </m:rPr>
              <m:t>0</m:t>
            </m:r>
          </m:sub>
        </m:sSub>
      </m:oMath>
      <w:r>
        <w:rPr>
          <w:rFonts w:eastAsia="Georgia" w:cs="Georgia" w:ascii="Georgia" w:hAnsi="Georgia"/>
        </w:rPr>
        <w:t xml:space="preserve">. Dans ce cadre, lors du mouvement du pivot A, nous considérons que le point M se déplace selon la direction instantanée </w:t>
      </w:r>
      <m:oMath>
        <m:d>
          <m:dPr>
            <m:begChr m:val="("/>
            <m:endChr m:val=")"/>
            <m:ctrlPr>
              <w:rPr>
                <w:rFonts w:ascii="Cambria Math" w:hAnsi="Cambria Math"/>
              </w:rPr>
            </m:ctrlPr>
          </m:dPr>
          <m:e>
            <m:sSub>
              <m:sSubPr/>
              <m:e>
                <m:r>
                  <m:rPr>
                    <m:sty m:val="p"/>
                  </m:rPr>
                  <m:t>OM</m:t>
                </m:r>
              </m:e>
              <m:sub>
                <m:r>
                  <m:rPr>
                    <m:sty m:val="p"/>
                  </m:rPr>
                  <m:t>0</m:t>
                </m:r>
              </m:sub>
            </m:sSub>
          </m:e>
        </m:d>
      </m:oMath>
      <w:r>
        <w:rPr>
          <w:rFonts w:eastAsia="Georgia" w:cs="Georgia" w:ascii="Georgia" w:hAnsi="Georgia"/>
        </w:rPr>
        <w:t xml:space="preserve"> orientée par l'angle </w:t>
      </w:r>
      <m:oMath>
        <m:sSub>
          <m:sSubPr/>
          <m:e>
            <m:r>
              <m:rPr>
                <m:sty m:val="i"/>
              </m:rPr>
              <m:t>θ</m:t>
            </m:r>
          </m:e>
          <m:sub>
            <m:r>
              <m:rPr>
                <m:sty m:val="p"/>
              </m:rPr>
              <m:t>0</m:t>
            </m:r>
          </m:sub>
        </m:sSub>
      </m:oMath>
      <w:r>
        <w:rPr>
          <w:rFonts w:eastAsia="Georgia" w:cs="Georgia" w:ascii="Georgia" w:hAnsi="Georgia"/>
        </w:rPr>
        <w:t xml:space="preserve">. Cela revient à considérer le mouvement du pendule autour du point O selon la dynamique fixée par l'évolution </w:t>
      </w:r>
      <m:oMath>
        <m:sSub>
          <m:sSubPr/>
          <m:e>
            <m:r>
              <m:rPr>
                <m:sty m:val="i"/>
              </m:rPr>
              <m:t>θ</m:t>
            </m:r>
          </m:e>
          <m:sub>
            <m:r>
              <m:rPr>
                <m:sty m:val="p"/>
              </m:rPr>
              <m:t>0</m:t>
            </m:r>
          </m:sub>
        </m:sSub>
        <m:r>
          <m:rPr>
            <m:sty m:val="p"/>
          </m:rPr>
          <m:t>(</m:t>
        </m:r>
        <m:r>
          <m:rPr>
            <m:sty m:val="i"/>
          </m:rPr>
          <m:t>t</m:t>
        </m:r>
        <m:r>
          <m:rPr>
            <m:sty m:val="p"/>
          </m:rPr>
          <m:t>)</m:t>
        </m:r>
      </m:oMath>
      <w:r>
        <w:rPr/>
        <w:t xml:space="preserve"> et que la correction angulaire </w:t>
      </w:r>
      <m:oMath>
        <m:sSub>
          <m:sSubPr/>
          <m:e>
            <m:r>
              <m:rPr>
                <m:sty m:val="i"/>
              </m:rPr>
              <m:t>θ</m:t>
            </m:r>
          </m:e>
          <m:sub>
            <m:r>
              <m:rPr>
                <m:sty m:val="p"/>
              </m:rPr>
              <m:t>1</m:t>
            </m:r>
          </m:sub>
        </m:sSub>
        <m:r>
          <m:rPr>
            <m:sty m:val="p"/>
          </m:rPr>
          <m:t>(</m:t>
        </m:r>
        <m:r>
          <m:rPr>
            <m:sty m:val="i"/>
          </m:rPr>
          <m:t>t</m:t>
        </m:r>
        <m:r>
          <m:rPr>
            <m:sty m:val="p"/>
          </m:rPr>
          <m:t>)</m:t>
        </m:r>
      </m:oMath>
      <w:r>
        <w:rPr>
          <w:rFonts w:eastAsia="Georgia" w:cs="Georgia" w:ascii="Georgia" w:hAnsi="Georgia"/>
        </w:rPr>
        <w:t xml:space="preserve"> s'obtient par le déplacement du point A entraînant le point M dans l'axe de la tige. L'angle </w:t>
      </w:r>
      <m:oMath>
        <m:sSub>
          <m:sSubPr/>
          <m:e>
            <m:r>
              <m:rPr>
                <m:sty m:val="i"/>
              </m:rPr>
              <m:t>θ</m:t>
            </m:r>
          </m:e>
          <m:sub>
            <m:r>
              <m:rPr>
                <m:sty m:val="p"/>
              </m:rPr>
              <m:t>0</m:t>
            </m:r>
          </m:sub>
        </m:sSub>
      </m:oMath>
      <w:r>
        <w:rPr>
          <w:rFonts w:eastAsia="Georgia" w:cs="Georgia" w:ascii="Georgia" w:hAnsi="Georgia"/>
        </w:rPr>
        <w:t xml:space="preserve"> restant figé sur l'échelle de temps </w:t>
      </w:r>
      <m:oMath>
        <m:sSub>
          <m:sSubPr/>
          <m:e>
            <m:r>
              <m:rPr>
                <m:sty m:val="i"/>
              </m:rPr>
              <m:t>T</m:t>
            </m:r>
          </m:e>
          <m:sub>
            <m:r>
              <m:rPr>
                <m:sty m:val="p"/>
              </m:rPr>
              <m:t>ex</m:t>
            </m:r>
          </m:sub>
        </m:sSub>
        <m:d>
          <m:dPr>
            <m:begChr m:val="("/>
            <m:endChr m:val=")"/>
            <m:ctrlPr>
              <w:rPr>
                <w:rFonts w:ascii="Cambria Math" w:hAnsi="Cambria Math"/>
              </w:rPr>
            </m:ctrlPr>
          </m:dPr>
          <m:e>
            <m:r>
              <m:rPr>
                <m:sty m:val="p"/>
              </m:rPr>
              <m:t>Ω</m:t>
            </m:r>
            <m:r>
              <m:rPr>
                <m:sty m:val="p"/>
              </m:rPr>
              <m:t>≫</m:t>
            </m:r>
            <m:sSub>
              <m:sSubPr/>
              <m:e>
                <m:r>
                  <m:rPr>
                    <m:sty m:val="i"/>
                  </m:rPr>
                  <m:t>ω</m:t>
                </m:r>
              </m:e>
              <m:sub>
                <m:r>
                  <m:rPr>
                    <m:sty m:val="p"/>
                  </m:rPr>
                  <m:t>0</m:t>
                </m:r>
              </m:sub>
            </m:sSub>
          </m:e>
        </m:d>
      </m:oMath>
      <w:r>
        <w:rPr>
          <w:rFonts w:eastAsia="Georgia" w:cs="Georgia" w:ascii="Georgia" w:hAnsi="Georgia"/>
        </w:rPr>
        <w:t xml:space="preserve">. Ce scénario est illustré par la figure (4) où </w:t>
      </w:r>
      <m:oMath>
        <m:sSub>
          <m:sSubPr/>
          <m:e>
            <m:r>
              <m:rPr>
                <m:sty m:val="i"/>
              </m:rPr>
              <m:t>α</m:t>
            </m:r>
          </m:e>
          <m:sub>
            <m:r>
              <m:rPr>
                <m:sty m:val="p"/>
              </m:rPr>
              <m:t>0</m:t>
            </m:r>
          </m:sub>
        </m:sSub>
        <m:r>
          <m:rPr>
            <m:sty m:val="p"/>
          </m:rPr>
          <m:t>=</m:t>
        </m:r>
        <m:sSub>
          <m:sSubPr/>
          <m:e>
            <m:r>
              <m:rPr>
                <m:sty m:val="i"/>
              </m:rPr>
              <m:t>θ</m:t>
            </m:r>
          </m:e>
          <m:sub>
            <m:r>
              <m:rPr>
                <m:sty m:val="p"/>
              </m:rPr>
              <m:t>0</m:t>
            </m:r>
          </m:sub>
        </m:sSub>
        <m:r>
          <m:rPr>
            <m:sty m:val="p"/>
          </m:rPr>
          <m:t>−</m:t>
        </m:r>
        <m:r>
          <m:rPr>
            <m:sty m:val="i"/>
          </m:rPr>
          <m:t>π</m:t>
        </m:r>
        <m:r>
          <m:rPr>
            <m:sty m:val="p"/>
          </m:rPr>
          <m:t>/</m:t>
        </m:r>
        <m:r>
          <m:rPr>
            <m:sty m:val="p"/>
          </m:rPr>
          <m:t>2</m:t>
        </m:r>
      </m:oMath>
      <w:r>
        <w:rPr/>
        <w:t xml:space="preserve"> et </w:t>
      </w:r>
      <m:oMath>
        <m:r>
          <m:rPr>
            <m:sty m:val="i"/>
          </m:rPr>
          <m:t>α</m:t>
        </m:r>
        <m:r>
          <m:rPr>
            <m:sty m:val="p"/>
          </m:rPr>
          <m:t>=</m:t>
        </m:r>
        <m:sSub>
          <m:sSubPr/>
          <m:e>
            <m:r>
              <m:rPr>
                <m:sty m:val="i"/>
              </m:rPr>
              <m:t>α</m:t>
            </m:r>
          </m:e>
          <m:sub>
            <m:r>
              <m:rPr>
                <m:sty m:val="p"/>
              </m:rPr>
              <m:t>0</m:t>
            </m:r>
          </m:sub>
        </m:sSub>
        <m:r>
          <m:rPr>
            <m:sty m:val="p"/>
          </m:rPr>
          <m:t>+</m:t>
        </m:r>
        <m:sSub>
          <m:sSubPr/>
          <m:e>
            <m:r>
              <m:rPr>
                <m:sty m:val="i"/>
              </m:rPr>
              <m:t>θ</m:t>
            </m:r>
          </m:e>
          <m:sub>
            <m:r>
              <m:rPr>
                <m:sty m:val="p"/>
              </m:rPr>
              <m:t>1</m:t>
            </m:r>
          </m:sub>
        </m:sSub>
      </m:oMath>
      <w:r>
        <w:rPr/>
        <w:t xml:space="preserve">.</w:t>
      </w:r>
      <w:r>
        <w:rPr/>
        <w:br w:type="textWrapping"/>
      </w:r>
      <w:r>
        <w:rPr>
          <w:rFonts w:eastAsia="Georgia" w:cs="Georgia" w:ascii="Georgia" w:hAnsi="Georgia"/>
        </w:rPr>
        <w:t xml:space="preserve">22. À partir de la figure (4), établir que l'angle </w:t>
      </w:r>
      <m:oMath>
        <m:sSub>
          <m:sSubPr/>
          <m:e>
            <m:r>
              <m:rPr>
                <m:sty m:val="i"/>
              </m:rPr>
              <m:t>θ</m:t>
            </m:r>
          </m:e>
          <m:sub>
            <m:r>
              <m:rPr>
                <m:sty m:val="p"/>
              </m:rPr>
              <m:t>1</m:t>
            </m:r>
          </m:sub>
        </m:sSub>
      </m:oMath>
      <w:r>
        <w:rPr/>
        <w:t xml:space="preserve"> s'exprime, au premier ordre relativement au rapport </w:t>
      </w:r>
      <m:oMath>
        <m:r>
          <m:rPr>
            <m:sty m:val="i"/>
          </m:rPr>
          <m:t>a</m:t>
        </m:r>
        <m:r>
          <m:rPr>
            <m:sty m:val="p"/>
          </m:rPr>
          <m:t>/</m:t>
        </m:r>
        <m:r>
          <m:rPr>
            <m:sty m:val="i"/>
          </m:rPr>
          <m:t>ℓ</m:t>
        </m:r>
      </m:oMath>
      <w:r>
        <w:rPr/>
        <w:t xml:space="preserve"> :</w:t>
      </w:r>
    </w:p>
    <w:p>
      <w:pPr>
        <w:spacing w:after="220" w:lineRule="auto"/>
      </w:pPr>
      <m:oMathPara>
        <m:oMath>
          <m:sSub>
            <m:sSubPr/>
            <m:e>
              <m:r>
                <m:rPr>
                  <m:sty m:val="i"/>
                </m:rPr>
                <m:t>θ</m:t>
              </m:r>
            </m:e>
            <m:sub>
              <m:r>
                <m:rPr>
                  <m:sty m:val="p"/>
                </m:rPr>
                <m:t>1</m:t>
              </m:r>
            </m:sub>
          </m:sSub>
          <m:r>
            <m:rPr>
              <m:sty m:val="p"/>
            </m:rPr>
            <m:t>=</m:t>
          </m:r>
          <m:f>
            <m:fPr>
              <m:ctrlPr>
                <w:rPr>
                  <w:rFonts w:ascii="Cambria Math" w:hAnsi="Cambria Math"/>
                </w:rPr>
              </m:ctrlPr>
            </m:fPr>
            <m:num>
              <m:r>
                <m:rPr>
                  <m:sty m:val="i"/>
                </m:rPr>
                <m:t>a</m:t>
              </m:r>
            </m:num>
            <m:den>
              <m:r>
                <m:rPr>
                  <m:sty m:val="i"/>
                </m:rPr>
                <m:t>ℓ</m:t>
              </m:r>
            </m:den>
          </m:f>
          <m:r>
            <m:rPr>
              <m:sty m:val="p"/>
            </m:rPr>
            <m:t>sin</m:t>
          </m:r>
          <m:r>
            <m:rPr>
              <m:sty m:val="p"/>
            </m:rPr>
            <m:t>⁡</m:t>
          </m:r>
          <m:sSub>
            <m:sSubPr/>
            <m:e>
              <m:r>
                <m:rPr>
                  <m:sty m:val="i"/>
                </m:rPr>
                <m:t>θ</m:t>
              </m:r>
            </m:e>
            <m:sub>
              <m:r>
                <m:rPr>
                  <m:sty m:val="p"/>
                </m:rPr>
                <m:t>0</m:t>
              </m:r>
            </m:sub>
          </m:sSub>
          <m:r>
            <m:rPr>
              <m:sty m:val="p"/>
            </m:rPr>
            <m:t>sin</m:t>
          </m:r>
          <m:r>
            <m:rPr>
              <m:sty m:val="p"/>
            </m:rPr>
            <m:t>⁡</m:t>
          </m:r>
          <m:r>
            <m:rPr>
              <m:sty m:val="i"/>
            </m:rPr>
            <m:t>ψ</m:t>
          </m:r>
        </m:oMath>
      </m:oMathPara>
    </w:p>
    <w:p>
      <w:pPr>
        <w:numPr>
          <w:ilvl w:val="0"/>
          <w:numId w:val="10"/>
        </w:numPr>
        <w:spacing w:lineRule="auto"/>
      </w:pPr>
      <w:r>
        <w:rPr>
          <w:rFonts w:eastAsia="Georgia" w:cs="Georgia" w:ascii="Georgia" w:hAnsi="Georgia"/>
        </w:rPr>
        <w:t xml:space="preserve">En introduisant dans l'équation (6) la solution </w:t>
      </w:r>
      <m:oMath>
        <m:r>
          <m:rPr>
            <m:sty m:val="i"/>
          </m:rPr>
          <m:t>θ</m:t>
        </m:r>
        <m:r>
          <m:rPr>
            <m:sty m:val="p"/>
          </m:rPr>
          <m:t>=</m:t>
        </m:r>
        <m:sSub>
          <m:sSubPr/>
          <m:e>
            <m:r>
              <m:rPr>
                <m:sty m:val="i"/>
              </m:rPr>
              <m:t>θ</m:t>
            </m:r>
          </m:e>
          <m:sub>
            <m:r>
              <m:rPr>
                <m:sty m:val="p"/>
              </m:rPr>
              <m:t>0</m:t>
            </m:r>
          </m:sub>
        </m:sSub>
        <m:r>
          <m:rPr>
            <m:sty m:val="p"/>
          </m:rPr>
          <m:t>+</m:t>
        </m:r>
        <m:sSub>
          <m:sSubPr/>
          <m:e>
            <m:r>
              <m:rPr>
                <m:sty m:val="i"/>
              </m:rPr>
              <m:t>θ</m:t>
            </m:r>
          </m:e>
          <m:sub>
            <m:r>
              <m:rPr>
                <m:sty m:val="p"/>
              </m:rPr>
              <m:t>1</m:t>
            </m:r>
          </m:sub>
        </m:sSub>
      </m:oMath>
      <w:r>
        <w:rPr/>
        <w:t xml:space="preserve"> avec la composante </w:t>
      </w:r>
      <m:oMath>
        <m:sSub>
          <m:sSubPr/>
          <m:e>
            <m:r>
              <m:rPr>
                <m:sty m:val="i"/>
              </m:rPr>
              <m:t>θ</m:t>
            </m:r>
          </m:e>
          <m:sub>
            <m:r>
              <m:rPr>
                <m:sty m:val="p"/>
              </m:rPr>
              <m:t>1</m:t>
            </m:r>
          </m:sub>
        </m:sSub>
      </m:oMath>
      <w:r>
        <w:rPr>
          <w:rFonts w:eastAsia="Georgia" w:cs="Georgia" w:ascii="Georgia" w:hAnsi="Georgia"/>
        </w:rPr>
        <w:t xml:space="preserve"> précédemment déterminée, puis en en effectuant la moyenne sur </w:t>
      </w:r>
      <m:oMath>
        <m:sSub>
          <m:sSubPr/>
          <m:e>
            <m:r>
              <m:rPr>
                <m:sty m:val="i"/>
              </m:rPr>
              <m:t>T</m:t>
            </m:r>
          </m:e>
          <m:sub>
            <m:r>
              <m:rPr>
                <m:sty m:val="p"/>
              </m:rPr>
              <m:t>ex</m:t>
            </m:r>
          </m:sub>
        </m:sSub>
      </m:oMath>
      <w:r>
        <w:rPr>
          <w:rFonts w:eastAsia="Georgia" w:cs="Georgia" w:ascii="Georgia" w:hAnsi="Georgia"/>
        </w:rPr>
        <w:t xml:space="preserve">, établir que l'équation différentielle alors vérifiée par l'angle </w:t>
      </w:r>
      <m:oMath>
        <m:sSub>
          <m:sSubPr/>
          <m:e>
            <m:r>
              <m:rPr>
                <m:sty m:val="i"/>
              </m:rPr>
              <m:t>θ</m:t>
            </m:r>
          </m:e>
          <m:sub>
            <m:r>
              <m:rPr>
                <m:sty m:val="p"/>
              </m:rPr>
              <m:t>0</m:t>
            </m:r>
          </m:sub>
        </m:sSub>
        <m:r>
          <m:rPr>
            <m:nor/>
          </m:rPr>
          <m:t xml:space="preserve"> </m:t>
        </m:r>
        <m:r>
          <m:rPr>
            <m:sty m:val="p"/>
          </m:rPr>
          <m:t>s</m:t>
        </m:r>
      </m:oMath>
      <w:r>
        <w:rPr>
          <w:rFonts w:eastAsia="Georgia" w:cs="Georgia" w:ascii="Georgia" w:hAnsi="Georgia"/>
        </w:rPr>
        <w:t xml:space="preserve"> 'écrit (toujours dans le cadre des hypothèses adoptées) :</w:t>
      </w:r>
    </w:p>
    <w:p>
      <w:pPr>
        <w:spacing w:after="220" w:lineRule="auto"/>
      </w:pPr>
      <m:oMathPara>
        <m:oMath>
          <m:sSub>
            <m:sSubPr/>
            <m:e>
              <m:acc>
                <m:accPr>
                  <m:chr m:val="¨"/>
                </m:accPr>
                <m:e>
                  <m:r>
                    <m:rPr>
                      <m:sty m:val="i"/>
                    </m:rPr>
                    <m:t>θ</m:t>
                  </m:r>
                </m:e>
              </m:acc>
            </m:e>
            <m:sub>
              <m:r>
                <m:rPr>
                  <m:sty m:val="p"/>
                </m:rPr>
                <m:t>0</m:t>
              </m:r>
            </m:sub>
          </m:sSub>
          <m:r>
            <m:rPr>
              <m:sty m:val="p"/>
            </m:rPr>
            <m:t>+</m:t>
          </m:r>
          <m:sSubSup>
            <m:sSubSupPr/>
            <m:e>
              <m:r>
                <m:rPr>
                  <m:sty m:val="i"/>
                </m:rPr>
                <m:t>ω</m:t>
              </m:r>
            </m:e>
            <m:sub>
              <m:r>
                <m:rPr>
                  <m:sty m:val="p"/>
                </m:rPr>
                <m:t>0</m:t>
              </m:r>
            </m:sub>
            <m:sup>
              <m:r>
                <m:rPr>
                  <m:sty m:val="p"/>
                </m:rPr>
                <m:t>2</m:t>
              </m:r>
            </m:sup>
          </m:sSubSup>
          <m:d>
            <m:dPr>
              <m:begChr m:val="("/>
              <m:endChr m:val=")"/>
              <m:ctrlPr>
                <w:rPr>
                  <w:rFonts w:ascii="Cambria Math" w:hAnsi="Cambria Math"/>
                </w:rPr>
              </m:ctrlPr>
            </m:dPr>
            <m:e>
              <m:r>
                <m:rPr>
                  <m:sty m:val="p"/>
                </m:rPr>
                <m:t>sin</m:t>
              </m:r>
              <m:r>
                <m:rPr>
                  <m:sty m:val="p"/>
                </m:rPr>
                <m:t>⁡</m:t>
              </m:r>
              <m:sSub>
                <m:sSubPr/>
                <m:e>
                  <m:r>
                    <m:rPr>
                      <m:sty m:val="i"/>
                    </m:rPr>
                    <m:t>θ</m:t>
                  </m:r>
                </m:e>
                <m:sub>
                  <m:r>
                    <m:rPr>
                      <m:sty m:val="p"/>
                    </m:rPr>
                    <m:t>0</m:t>
                  </m:r>
                </m:sub>
              </m:sSub>
              <m:r>
                <m:rPr>
                  <m:sty m:val="p"/>
                </m:rPr>
                <m:t>+</m:t>
              </m:r>
              <m:r>
                <m:rPr>
                  <m:sty m:val="i"/>
                </m:rPr>
                <m:t>Q</m:t>
              </m:r>
              <m:r>
                <m:rPr>
                  <m:sty m:val="p"/>
                </m:rPr>
                <m:t>sin</m:t>
              </m:r>
              <m:r>
                <m:rPr>
                  <m:sty m:val="p"/>
                </m:rPr>
                <m:t>⁡</m:t>
              </m:r>
              <m:r>
                <m:rPr>
                  <m:sty m:val="p"/>
                </m:rPr>
                <m:t>2</m:t>
              </m:r>
              <m:sSub>
                <m:sSubPr/>
                <m:e>
                  <m:r>
                    <m:rPr>
                      <m:sty m:val="i"/>
                    </m:rPr>
                    <m:t>θ</m:t>
                  </m:r>
                </m:e>
                <m:sub>
                  <m:r>
                    <m:rPr>
                      <m:sty m:val="p"/>
                    </m:rPr>
                    <m:t>0</m:t>
                  </m:r>
                </m:sub>
              </m:sSub>
            </m:e>
          </m:d>
          <m:r>
            <m:rPr>
              <m:sty m:val="p"/>
            </m:rPr>
            <m:t>=</m:t>
          </m:r>
          <m:r>
            <m:rPr>
              <m:sty m:val="p"/>
            </m:rPr>
            <m:t>0</m:t>
          </m:r>
        </m:oMath>
      </m:oMathPara>
    </w:p>
    <w:p>
      <w:pPr>
        <w:spacing w:after="220" w:lineRule="auto"/>
      </w:pPr>
      <w:r>
        <w:rPr>
          <w:rFonts w:eastAsia="Georgia" w:cs="Georgia" w:ascii="Georgia" w:hAnsi="Georgia"/>
        </w:rPr>
        <w:t xml:space="preserve">où le facteur constant positif </w:t>
      </w:r>
      <m:oMath>
        <m:r>
          <m:rPr>
            <m:sty m:val="i"/>
          </m:rPr>
          <m:t>Q</m:t>
        </m:r>
      </m:oMath>
      <w:r>
        <w:rPr>
          <w:rFonts w:eastAsia="Georgia" w:cs="Georgia" w:ascii="Georgia" w:hAnsi="Georgia"/>
        </w:rPr>
        <w:t xml:space="preserve"> est à exprimer en fonction des rapports </w:t>
      </w:r>
      <m:oMath>
        <m:r>
          <m:rPr>
            <m:sty m:val="i"/>
          </m:rPr>
          <m:t>a</m:t>
        </m:r>
        <m:r>
          <m:rPr>
            <m:sty m:val="p"/>
          </m:rPr>
          <m:t>/</m:t>
        </m:r>
        <m:r>
          <m:rPr>
            <m:sty m:val="i"/>
          </m:rPr>
          <m:t>ℓ</m:t>
        </m:r>
      </m:oMath>
      <w:r>
        <w:rPr/>
        <w:t xml:space="preserve"> et </w:t>
      </w:r>
      <m:oMath>
        <m:r>
          <m:rPr>
            <m:sty m:val="p"/>
          </m:rPr>
          <m:t>Ω</m:t>
        </m:r>
        <m:r>
          <m:rPr>
            <m:sty m:val="p"/>
          </m:rPr>
          <m:t>/</m:t>
        </m:r>
        <m:sSub>
          <m:sSubPr/>
          <m:e>
            <m:r>
              <m:rPr>
                <m:sty m:val="i"/>
              </m:rPr>
              <m:t>ω</m:t>
            </m:r>
          </m:e>
          <m:sub>
            <m:r>
              <m:rPr>
                <m:sty m:val="p"/>
              </m:rPr>
              <m:t>0</m:t>
            </m:r>
          </m:sub>
        </m:sSub>
      </m:oMath>
      <w:r>
        <w:rPr/>
        <w:t xml:space="preserve">.</w:t>
      </w:r>
    </w:p>
    <w:p>
      <w:pPr>
        <w:spacing w:lineRule="auto"/>
        <w:jc w:val="center"/>
      </w:pPr>
      <w:r>
        <w:rPr/>
        <w:drawing>
          <wp:inline distB="0" distL="0" distR="0" distT="0">
            <wp:extent cx="5486400" cy="5058675"/>
            <wp:effectExtent b="0" l="0" r="0" t="0"/>
            <wp:docPr id="4" name="image-a9ba1c35d2423ffa5cd229c9b996151739ac7c23.jpg"/>
            <a:graphic>
              <a:graphicData uri="http://schemas.openxmlformats.org/drawingml/2006/picture">
                <pic:pic>
                  <pic:nvPicPr>
                    <pic:cNvPr id="4" name="image-a9ba1c35d2423ffa5cd229c9b996151739ac7c23.jpg" descr=""/>
                    <pic:cNvPicPr/>
                  </pic:nvPicPr>
                  <pic:blipFill>
                    <a:blip r:embed="rId8" cstate="print"/>
                    <a:srcRect b="0" l="0" r="0" t="0"/>
                    <a:stretch>
                      <a:fillRect/>
                    </a:stretch>
                  </pic:blipFill>
                  <pic:spPr>
                    <a:xfrm>
                      <a:off x="0" y="0"/>
                      <a:ext cx="5486400" cy="5058675"/>
                    </a:xfrm>
                    <a:prstGeom prst="rect"/>
                  </pic:spPr>
                </pic:pic>
              </a:graphicData>
            </a:graphic>
          </wp:inline>
        </w:drawing>
      </w:r>
    </w:p>
    <w:p>
      <w:pPr>
        <w:spacing w:lineRule="auto"/>
      </w:pPr>
      <w:r>
        <w:rPr/>
        <w:t xml:space="preserve">Figure 4 - Pendule (2) ( </w:t>
      </w:r>
      <m:oMath>
        <m:r>
          <m:rPr>
            <m:sty m:val="i"/>
          </m:rPr>
          <m:t>m</m:t>
        </m:r>
        <m:r>
          <m:rPr>
            <m:sty m:val="p"/>
          </m:rPr>
          <m:t>,</m:t>
        </m:r>
        <m:r>
          <m:rPr>
            <m:sty m:val="i"/>
          </m:rPr>
          <m:t>ℓ</m:t>
        </m:r>
      </m:oMath>
      <w:r>
        <w:rPr>
          <w:rFonts w:eastAsia="Georgia" w:cs="Georgia" w:ascii="Georgia" w:hAnsi="Georgia"/>
        </w:rPr>
        <w:t xml:space="preserve"> ) soumis à l'excitation du point A induisant une modulation de son mouvement angulaire.</w:t>
      </w:r>
    </w:p>
    <w:p>
      <w:pPr>
        <w:numPr>
          <w:ilvl w:val="0"/>
          <w:numId w:val="11"/>
        </w:numPr>
        <w:spacing w:lineRule="auto"/>
      </w:pPr>
      <w:r>
        <w:rPr>
          <w:rFonts w:eastAsia="Georgia" w:cs="Georgia" w:ascii="Georgia" w:hAnsi="Georgia"/>
        </w:rPr>
        <w:t xml:space="preserve">Proposer un argument en faveur de la forme de l'équation (9).</w:t>
      </w:r>
    </w:p>
    <w:p>
      <w:pPr>
        <w:numPr>
          <w:ilvl w:val="0"/>
          <w:numId w:val="11"/>
        </w:numPr>
        <w:spacing w:lineRule="auto"/>
      </w:pPr>
      <w:r>
        <w:rPr>
          <w:rFonts w:eastAsia="Georgia" w:cs="Georgia" w:ascii="Georgia" w:hAnsi="Georgia"/>
        </w:rPr>
        <w:t xml:space="preserve">Déduire de l'équation (9) le potentiel effectif </w:t>
      </w:r>
      <m:oMath>
        <m:sSub>
          <m:sSubPr/>
          <m:e>
            <m:r>
              <m:rPr>
                <m:sty m:val="i"/>
              </m:rPr>
              <m:t>E</m:t>
            </m:r>
          </m:e>
          <m:sub>
            <m:r>
              <m:rPr>
                <m:nor/>
              </m:rPr>
              <m:t>eff </m:t>
            </m:r>
          </m:sub>
        </m:sSub>
        <m:d>
          <m:dPr>
            <m:begChr m:val="("/>
            <m:endChr m:val=")"/>
            <m:ctrlPr>
              <w:rPr>
                <w:rFonts w:ascii="Cambria Math" w:hAnsi="Cambria Math"/>
              </w:rPr>
            </m:ctrlPr>
          </m:dPr>
          <m:e>
            <m:sSub>
              <m:sSubPr/>
              <m:e>
                <m:r>
                  <m:rPr>
                    <m:sty m:val="i"/>
                  </m:rPr>
                  <m:t>θ</m:t>
                </m:r>
              </m:e>
              <m:sub>
                <m:r>
                  <m:rPr>
                    <m:sty m:val="p"/>
                  </m:rPr>
                  <m:t>0</m:t>
                </m:r>
              </m:sub>
            </m:sSub>
          </m:e>
        </m:d>
      </m:oMath>
      <w:r>
        <w:rPr>
          <w:rFonts w:eastAsia="Georgia" w:cs="Georgia" w:ascii="Georgia" w:hAnsi="Georgia"/>
        </w:rPr>
        <w:t xml:space="preserve"> qui lui est associé. Il s'agit du potentiel auquel est soumis le système dynamique fictif dont l'évolution serait décrite par la variable angulaire </w:t>
      </w:r>
      <m:oMath>
        <m:sSub>
          <m:sSubPr/>
          <m:e>
            <m:r>
              <m:rPr>
                <m:sty m:val="i"/>
              </m:rPr>
              <m:t>θ</m:t>
            </m:r>
          </m:e>
          <m:sub>
            <m:r>
              <m:rPr>
                <m:sty m:val="p"/>
              </m:rPr>
              <m:t>0</m:t>
            </m:r>
          </m:sub>
        </m:sSub>
      </m:oMath>
      <w:r>
        <w:rPr>
          <w:rFonts w:eastAsia="Georgia" w:cs="Georgia" w:ascii="Georgia" w:hAnsi="Georgia"/>
        </w:rPr>
        <w:t xml:space="preserve">. On l'écrira sous la forme :</w:t>
      </w:r>
    </w:p>
    <w:p>
      <w:pPr>
        <w:spacing w:after="220" w:lineRule="auto"/>
      </w:pPr>
      <m:oMathPara>
        <m:oMath>
          <m:sSub>
            <m:sSubPr/>
            <m:e>
              <m:r>
                <m:rPr>
                  <m:sty m:val="i"/>
                </m:rPr>
                <m:t>E</m:t>
              </m:r>
            </m:e>
            <m:sub>
              <m:r>
                <m:rPr>
                  <m:sty m:val="p"/>
                </m:rPr>
                <m:t>eff</m:t>
              </m:r>
            </m:sub>
          </m:sSub>
          <m:d>
            <m:dPr>
              <m:begChr m:val="("/>
              <m:endChr m:val=")"/>
              <m:ctrlPr>
                <w:rPr>
                  <w:rFonts w:ascii="Cambria Math" w:hAnsi="Cambria Math"/>
                </w:rPr>
              </m:ctrlPr>
            </m:dPr>
            <m:e>
              <m:sSub>
                <m:sSubPr/>
                <m:e>
                  <m:r>
                    <m:rPr>
                      <m:sty m:val="i"/>
                    </m:rPr>
                    <m:t>θ</m:t>
                  </m:r>
                </m:e>
                <m:sub>
                  <m:r>
                    <m:rPr>
                      <m:sty m:val="p"/>
                    </m:rPr>
                    <m:t>0</m:t>
                  </m:r>
                </m:sub>
              </m:sSub>
            </m:e>
          </m:d>
          <m:r>
            <m:rPr>
              <m:sty m:val="p"/>
            </m:rPr>
            <m:t>=</m:t>
          </m:r>
          <m:sSubSup>
            <m:sSubSupPr/>
            <m:e>
              <m:r>
                <m:rPr>
                  <m:sty m:val="i"/>
                </m:rPr>
                <m:t>E</m:t>
              </m:r>
            </m:e>
            <m:sub>
              <m:r>
                <m:rPr>
                  <m:sty m:val="p"/>
                </m:rPr>
                <m:t>eff</m:t>
              </m:r>
            </m:sub>
            <m:sup>
              <m:r>
                <m:rPr>
                  <m:sty m:val="p"/>
                </m:rPr>
                <m:t>⋆</m:t>
              </m:r>
            </m:sup>
          </m:sSubSup>
          <m:r>
            <m:rPr>
              <m:sty m:val="i"/>
            </m:rPr>
            <m:t>f</m:t>
          </m:r>
          <m:d>
            <m:dPr>
              <m:begChr m:val="("/>
              <m:endChr m:val=")"/>
              <m:ctrlPr>
                <w:rPr>
                  <w:rFonts w:ascii="Cambria Math" w:hAnsi="Cambria Math"/>
                </w:rPr>
              </m:ctrlPr>
            </m:dPr>
            <m:e>
              <m:sSub>
                <m:sSubPr/>
                <m:e>
                  <m:r>
                    <m:rPr>
                      <m:sty m:val="i"/>
                    </m:rPr>
                    <m:t>θ</m:t>
                  </m:r>
                </m:e>
                <m:sub>
                  <m:r>
                    <m:rPr>
                      <m:sty m:val="p"/>
                    </m:rPr>
                    <m:t>0</m:t>
                  </m:r>
                </m:sub>
              </m:sSub>
            </m:e>
          </m:d>
        </m:oMath>
      </m:oMathPara>
    </w:p>
    <w:p>
      <w:pPr>
        <w:spacing w:after="220" w:lineRule="auto"/>
      </w:pPr>
      <w:r>
        <w:rPr/>
        <w:t xml:space="preserve">La grandeur </w:t>
      </w:r>
      <m:oMath>
        <m:sSub>
          <m:sSubPr/>
          <m:e>
            <m:r>
              <m:rPr>
                <m:sty m:val="i"/>
              </m:rPr>
              <m:t>E</m:t>
            </m:r>
          </m:e>
          <m:sub>
            <m:r>
              <m:rPr>
                <m:nor/>
              </m:rPr>
              <m:t>eff </m:t>
            </m:r>
          </m:sub>
        </m:sSub>
      </m:oMath>
      <w:r>
        <w:rPr>
          <w:rFonts w:eastAsia="Georgia" w:cs="Georgia" w:ascii="Georgia" w:hAnsi="Georgia"/>
        </w:rPr>
        <w:t xml:space="preserve">, positive et homogène à une énergie, est à exprimer en fonction de </w:t>
      </w:r>
      <m:oMath>
        <m:r>
          <m:rPr>
            <m:sty m:val="i"/>
          </m:rPr>
          <m:t>m</m:t>
        </m:r>
        <m:r>
          <m:rPr>
            <m:sty m:val="p"/>
          </m:rPr>
          <m:t>,</m:t>
        </m:r>
        <m:r>
          <m:rPr>
            <m:sty m:val="i"/>
          </m:rPr>
          <m:t>ℓ</m:t>
        </m:r>
      </m:oMath>
      <w:r>
        <w:rPr/>
        <w:t xml:space="preserve"> et </w:t>
      </w:r>
      <m:oMath>
        <m:sSub>
          <m:sSubPr/>
          <m:e>
            <m:r>
              <m:rPr>
                <m:sty m:val="i"/>
              </m:rPr>
              <m:t>ω</m:t>
            </m:r>
          </m:e>
          <m:sub>
            <m:r>
              <m:rPr>
                <m:sty m:val="p"/>
              </m:rPr>
              <m:t>0</m:t>
            </m:r>
          </m:sub>
        </m:sSub>
      </m:oMath>
      <w:r>
        <w:rPr/>
        <w:t xml:space="preserve">. La fonction </w:t>
      </w:r>
      <m:oMath>
        <m:r>
          <m:rPr>
            <m:sty m:val="i"/>
          </m:rPr>
          <m:t>f</m:t>
        </m:r>
      </m:oMath>
      <w:r>
        <w:rPr>
          <w:rFonts w:eastAsia="Georgia" w:cs="Georgia" w:ascii="Georgia" w:hAnsi="Georgia"/>
        </w:rPr>
        <w:t xml:space="preserve"> est paramétrée par la seule grandeur </w:t>
      </w:r>
      <m:oMath>
        <m:r>
          <m:rPr>
            <m:sty m:val="i"/>
          </m:rPr>
          <m:t>Q</m:t>
        </m:r>
      </m:oMath>
      <w:r>
        <w:rPr/>
        <w:t xml:space="preserve">. On la choisira telle que le potentiel effectif </w:t>
      </w:r>
      <m:oMath>
        <m:sSub>
          <m:sSubPr/>
          <m:e>
            <m:r>
              <m:rPr>
                <m:sty m:val="i"/>
              </m:rPr>
              <m:t>E</m:t>
            </m:r>
          </m:e>
          <m:sub>
            <m:r>
              <m:rPr>
                <m:nor/>
              </m:rPr>
              <m:t>eff </m:t>
            </m:r>
          </m:sub>
        </m:sSub>
      </m:oMath>
      <w:r>
        <w:rPr/>
        <w:t xml:space="preserve"> s'annule pour </w:t>
      </w:r>
      <m:oMath>
        <m:sSub>
          <m:sSubPr/>
          <m:e>
            <m:r>
              <m:rPr>
                <m:sty m:val="i"/>
              </m:rPr>
              <m:t>θ</m:t>
            </m:r>
          </m:e>
          <m:sub>
            <m:r>
              <m:rPr>
                <m:sty m:val="p"/>
              </m:rPr>
              <m:t>0</m:t>
            </m:r>
          </m:sub>
        </m:sSub>
        <m:r>
          <m:rPr>
            <m:sty m:val="p"/>
          </m:rPr>
          <m:t>=</m:t>
        </m:r>
        <m:r>
          <m:rPr>
            <m:sty m:val="p"/>
          </m:rPr>
          <m:t>0</m:t>
        </m:r>
      </m:oMath>
      <w:r>
        <w:rPr/>
        <w:t xml:space="preserve">, dans le cas </w:t>
      </w:r>
      <m:oMath>
        <m:r>
          <m:rPr>
            <m:sty m:val="i"/>
          </m:rPr>
          <m:t>Q</m:t>
        </m:r>
        <m:r>
          <m:rPr>
            <m:sty m:val="p"/>
          </m:rPr>
          <m:t>=</m:t>
        </m:r>
        <m:r>
          <m:rPr>
            <m:sty m:val="p"/>
          </m:rPr>
          <m:t>0</m:t>
        </m:r>
      </m:oMath>
      <w:r>
        <w:rPr/>
        <w:t xml:space="preserve">.</w:t>
      </w:r>
    </w:p>
    <w:p>
      <w:pPr>
        <w:numPr>
          <w:ilvl w:val="0"/>
          <w:numId w:val="12"/>
        </w:numPr>
        <w:spacing w:lineRule="auto"/>
      </w:pPr>
      <w:r>
        <w:rPr>
          <w:rFonts w:eastAsia="Georgia" w:cs="Georgia" w:ascii="Georgia" w:hAnsi="Georgia"/>
        </w:rPr>
        <w:t xml:space="preserve">La figure (5) représente graphiquement la fonction </w:t>
      </w:r>
      <m:oMath>
        <m:r>
          <m:rPr>
            <m:sty m:val="i"/>
          </m:rPr>
          <m:t>f</m:t>
        </m:r>
      </m:oMath>
      <w:r>
        <w:rPr>
          <w:rFonts w:eastAsia="Georgia" w:cs="Georgia" w:ascii="Georgia" w:hAnsi="Georgia"/>
        </w:rPr>
        <w:t xml:space="preserve"> pour la valeur du paramètre </w:t>
      </w:r>
      <m:oMath>
        <m:r>
          <m:rPr>
            <m:sty m:val="i"/>
          </m:rPr>
          <m:t>Q</m:t>
        </m:r>
      </m:oMath>
      <w:r>
        <w:rPr>
          <w:rFonts w:eastAsia="Georgia" w:cs="Georgia" w:ascii="Georgia" w:hAnsi="Georgia"/>
        </w:rPr>
        <w:t xml:space="preserve"> correspondant aux évolutions de la figure (3).</w:t>
      </w:r>
    </w:p>
    <w:p>
      <w:pPr>
        <w:spacing w:lineRule="auto"/>
        <w:jc w:val="center"/>
      </w:pPr>
      <w:r>
        <w:rPr/>
        <w:drawing>
          <wp:inline distB="0" distL="0" distR="0" distT="0">
            <wp:extent cx="5486400" cy="4136065"/>
            <wp:effectExtent b="0" l="0" r="0" t="0"/>
            <wp:docPr id="5" name="image-57749042108bdc88d6286078370e97cb43b455cb.jpg"/>
            <a:graphic>
              <a:graphicData uri="http://schemas.openxmlformats.org/drawingml/2006/picture">
                <pic:pic>
                  <pic:nvPicPr>
                    <pic:cNvPr id="5" name="image-57749042108bdc88d6286078370e97cb43b455cb.jpg" descr=""/>
                    <pic:cNvPicPr/>
                  </pic:nvPicPr>
                  <pic:blipFill>
                    <a:blip r:embed="rId9" cstate="print"/>
                    <a:srcRect b="0" l="0" r="0" t="0"/>
                    <a:stretch>
                      <a:fillRect/>
                    </a:stretch>
                  </pic:blipFill>
                  <pic:spPr>
                    <a:xfrm>
                      <a:off x="0" y="0"/>
                      <a:ext cx="5486400" cy="4136065"/>
                    </a:xfrm>
                    <a:prstGeom prst="rect"/>
                  </pic:spPr>
                </pic:pic>
              </a:graphicData>
            </a:graphic>
          </wp:inline>
        </w:drawing>
      </w:r>
    </w:p>
    <w:p>
      <w:pPr>
        <w:spacing w:lineRule="auto"/>
      </w:pPr>
      <w:r>
        <w:rPr>
          <w:rFonts w:eastAsia="Georgia" w:cs="Georgia" w:ascii="Georgia" w:hAnsi="Georgia"/>
        </w:rPr>
        <w:t xml:space="preserve">Figure 5 - Représentation graphique de la fonction </w:t>
      </w:r>
      <m:oMath>
        <m:r>
          <m:rPr>
            <m:sty m:val="i"/>
          </m:rPr>
          <m:t>f</m:t>
        </m:r>
      </m:oMath>
      <w:r>
        <w:rPr>
          <w:rFonts w:eastAsia="Georgia" w:cs="Georgia" w:ascii="Georgia" w:hAnsi="Georgia"/>
        </w:rPr>
        <w:t xml:space="preserve"> pour la valeur du paramètre </w:t>
      </w:r>
      <m:oMath>
        <m:r>
          <m:rPr>
            <m:sty m:val="i"/>
          </m:rPr>
          <m:t>Q</m:t>
        </m:r>
      </m:oMath>
      <w:r>
        <w:rPr>
          <w:rFonts w:eastAsia="Georgia" w:cs="Georgia" w:ascii="Georgia" w:hAnsi="Georgia"/>
        </w:rPr>
        <w:t xml:space="preserve"> correspondant aux évolutions de la figure (3).</w:t>
      </w:r>
    </w:p>
    <w:p>
      <w:pPr>
        <w:numPr>
          <w:ilvl w:val="0"/>
          <w:numId w:val="13"/>
        </w:numPr>
        <w:spacing w:lineRule="auto"/>
      </w:pPr>
      <w:r>
        <w:rPr>
          <w:rFonts w:eastAsia="Georgia" w:cs="Georgia" w:ascii="Georgia" w:hAnsi="Georgia"/>
        </w:rPr>
        <w:t xml:space="preserve">Analyser les deux évolutions représentées figure (3) à partir du profil de ce potentiel.</w:t>
      </w:r>
    </w:p>
    <w:p>
      <w:pPr>
        <w:numPr>
          <w:ilvl w:val="0"/>
          <w:numId w:val="13"/>
        </w:numPr>
        <w:spacing w:lineRule="auto"/>
      </w:pPr>
      <w:r>
        <w:rPr>
          <w:rFonts w:eastAsia="Georgia" w:cs="Georgia" w:ascii="Georgia" w:hAnsi="Georgia"/>
        </w:rPr>
        <w:t xml:space="preserve">Expliquer brièvement pourquoi la période de la composante de basse fréquence de l'évolution gauche de la figure (3) est inférieure à celle de l'évolution droite.</w:t>
      </w:r>
    </w:p>
    <w:p>
      <w:pPr>
        <w:numPr>
          <w:ilvl w:val="0"/>
          <w:numId w:val="13"/>
        </w:numPr>
        <w:spacing w:lineRule="auto"/>
      </w:pPr>
      <w:r>
        <w:rPr>
          <w:rFonts w:eastAsia="Georgia" w:cs="Georgia" w:ascii="Georgia" w:hAnsi="Georgia"/>
        </w:rPr>
        <w:t xml:space="preserve">Dans le cas général, déterminer à quelle condition, portant sur le paramètre </w:t>
      </w:r>
      <m:oMath>
        <m:r>
          <m:rPr>
            <m:sty m:val="i"/>
          </m:rPr>
          <m:t>Q</m:t>
        </m:r>
      </m:oMath>
      <w:r>
        <w:rPr/>
        <w:t xml:space="preserve">, il devient possible d'observer des oscillations autour de l'angle </w:t>
      </w:r>
      <m:oMath>
        <m:r>
          <m:rPr>
            <m:sty m:val="i"/>
          </m:rPr>
          <m:t>π</m:t>
        </m:r>
      </m:oMath>
      <w:r>
        <w:rPr/>
        <w:t xml:space="preserve">, si toutefois les conditions initiales sont bien choisies.</w:t>
      </w:r>
    </w:p>
    <w:p>
      <w:pPr>
        <w:numPr>
          <w:ilvl w:val="0"/>
          <w:numId w:val="13"/>
        </w:numPr>
        <w:spacing w:lineRule="auto"/>
      </w:pPr>
      <w:r>
        <w:rPr>
          <w:rFonts w:eastAsia="Georgia" w:cs="Georgia" w:ascii="Georgia" w:hAnsi="Georgia"/>
        </w:rPr>
        <w:t xml:space="preserve">Vérifier, à partir de la représentation graphique de la fonction </w:t>
      </w:r>
      <m:oMath>
        <m:r>
          <m:rPr>
            <m:sty m:val="i"/>
          </m:rPr>
          <m:t>f</m:t>
        </m:r>
      </m:oMath>
      <w:r>
        <w:rPr/>
        <w:t xml:space="preserve">, que cette condition est effectivement satisfaite. On estimera pour cela le rapport </w:t>
      </w:r>
      <m:oMath>
        <m:r>
          <m:rPr>
            <m:sty m:val="i"/>
          </m:rPr>
          <m:t>Q</m:t>
        </m:r>
        <m:r>
          <m:rPr>
            <m:sty m:val="p"/>
          </m:rPr>
          <m:t>/</m:t>
        </m:r>
        <m:sSub>
          <m:sSubPr/>
          <m:e>
            <m:r>
              <m:rPr>
                <m:sty m:val="i"/>
              </m:rPr>
              <m:t>Q</m:t>
            </m:r>
          </m:e>
          <m:sub>
            <m:r>
              <m:rPr>
                <m:sty m:val="p"/>
              </m:rPr>
              <m:t>c</m:t>
            </m:r>
          </m:sub>
        </m:sSub>
      </m:oMath>
      <w:r>
        <w:rPr/>
        <w:t xml:space="preserve">.</w:t>
      </w:r>
    </w:p>
    <w:p>
      <w:pPr>
        <w:numPr>
          <w:ilvl w:val="0"/>
          <w:numId w:val="13"/>
        </w:numPr>
        <w:spacing w:lineRule="auto"/>
      </w:pPr>
      <w:r>
        <w:rPr>
          <w:rFonts w:eastAsia="Georgia" w:cs="Georgia" w:ascii="Georgia" w:hAnsi="Georgia"/>
        </w:rPr>
        <w:t xml:space="preserve">Associer à l'évolution de la composante </w:t>
      </w:r>
      <m:oMath>
        <m:sSub>
          <m:sSubPr/>
          <m:e>
            <m:r>
              <m:rPr>
                <m:sty m:val="i"/>
              </m:rPr>
              <m:t>θ</m:t>
            </m:r>
          </m:e>
          <m:sub>
            <m:r>
              <m:rPr>
                <m:sty m:val="p"/>
              </m:rPr>
              <m:t>0</m:t>
            </m:r>
          </m:sub>
        </m:sSub>
      </m:oMath>
      <w:r>
        <w:rPr>
          <w:rFonts w:eastAsia="Georgia" w:cs="Georgia" w:ascii="Georgia" w:hAnsi="Georgia"/>
        </w:rPr>
        <w:t xml:space="preserve"> autour de l'angle 0 une pulsation caractéristique </w:t>
      </w:r>
      <m:oMath>
        <m:sSubSup>
          <m:sSubSupPr/>
          <m:e>
            <m:r>
              <m:rPr>
                <m:sty m:val="i"/>
              </m:rPr>
              <m:t>ω</m:t>
            </m:r>
          </m:e>
          <m:sub>
            <m:r>
              <m:rPr>
                <m:sty m:val="p"/>
              </m:rPr>
              <m:t>b</m:t>
            </m:r>
          </m:sub>
          <m:sup>
            <m:r>
              <m:rPr>
                <m:sty m:val="p"/>
              </m:rPr>
              <m:t>⋆</m:t>
            </m:r>
          </m:sup>
        </m:sSubSup>
      </m:oMath>
      <w:r>
        <w:rPr>
          <w:rFonts w:eastAsia="Georgia" w:cs="Georgia" w:ascii="Georgia" w:hAnsi="Georgia"/>
        </w:rPr>
        <w:t xml:space="preserve">, puis à celle autour de l'angle </w:t>
      </w:r>
      <m:oMath>
        <m:r>
          <m:rPr>
            <m:sty m:val="i"/>
          </m:rPr>
          <m:t>π</m:t>
        </m:r>
      </m:oMath>
      <w:r>
        <w:rPr>
          <w:rFonts w:eastAsia="Georgia" w:cs="Georgia" w:ascii="Georgia" w:hAnsi="Georgia"/>
        </w:rPr>
        <w:t xml:space="preserve"> une pulsation caractéristique </w:t>
      </w:r>
      <m:oMath>
        <m:sSubSup>
          <m:sSubSupPr/>
          <m:e>
            <m:r>
              <m:rPr>
                <m:sty m:val="i"/>
              </m:rPr>
              <m:t>ω</m:t>
            </m:r>
          </m:e>
          <m:sub>
            <m:r>
              <m:rPr>
                <m:sty m:val="p"/>
              </m:rPr>
              <m:t>h</m:t>
            </m:r>
          </m:sub>
          <m:sup>
            <m:r>
              <m:rPr>
                <m:sty m:val="p"/>
              </m:rPr>
              <m:t>⋆</m:t>
            </m:r>
          </m:sup>
        </m:sSubSup>
      </m:oMath>
      <w:r>
        <w:rPr/>
        <w:t xml:space="preserve">. On exprimera ces grandeurs en fonction de </w:t>
      </w:r>
      <m:oMath>
        <m:sSub>
          <m:sSubPr/>
          <m:e>
            <m:r>
              <m:rPr>
                <m:sty m:val="i"/>
              </m:rPr>
              <m:t>ω</m:t>
            </m:r>
          </m:e>
          <m:sub>
            <m:r>
              <m:rPr>
                <m:sty m:val="p"/>
              </m:rPr>
              <m:t>0</m:t>
            </m:r>
          </m:sub>
        </m:sSub>
      </m:oMath>
      <w:r>
        <w:rPr/>
        <w:t xml:space="preserve"> et </w:t>
      </w:r>
      <m:oMath>
        <m:r>
          <m:rPr>
            <m:sty m:val="i"/>
          </m:rPr>
          <m:t>Q</m:t>
        </m:r>
      </m:oMath>
      <w:r>
        <w:rPr>
          <w:rFonts w:eastAsia="Georgia" w:cs="Georgia" w:ascii="Georgia" w:hAnsi="Georgia"/>
        </w:rPr>
        <w:t xml:space="preserve">. Indiquer alors quelle hypothèse ce résultat est susceptible de remettre en cause.</w:t>
      </w:r>
    </w:p>
    <w:p>
      <w:pPr>
        <w:numPr>
          <w:ilvl w:val="0"/>
          <w:numId w:val="13"/>
        </w:numPr>
        <w:spacing w:lineRule="auto"/>
      </w:pPr>
      <w:r>
        <w:rPr>
          <w:rFonts w:eastAsia="Georgia" w:cs="Georgia" w:ascii="Georgia" w:hAnsi="Georgia"/>
        </w:rPr>
        <w:t xml:space="preserve">Expliquer pourquoi la démarche adoptée qui a conduit à la détermination du potentiel effectif ne permet pas d'étudier l'influence de la phase </w:t>
      </w:r>
      <m:oMath>
        <m:r>
          <m:rPr>
            <m:sty m:val="i"/>
          </m:rPr>
          <m:t>ϕ</m:t>
        </m:r>
      </m:oMath>
      <w:r>
        <w:rPr>
          <w:rFonts w:eastAsia="Georgia" w:cs="Georgia" w:ascii="Georgia" w:hAnsi="Georgia"/>
        </w:rPr>
        <w:t xml:space="preserve"> sur l'évolution de l'angle </w:t>
      </w:r>
      <m:oMath>
        <m:r>
          <m:rPr>
            <m:sty m:val="i"/>
          </m:rPr>
          <m:t>θ</m:t>
        </m:r>
      </m:oMath>
      <w:r>
        <w:rPr/>
        <w:t xml:space="preserve">.</w:t>
      </w:r>
    </w:p>
    <w:p>
      <w:pPr>
        <w:spacing w:line="271" w:before="330" w:lineRule="auto"/>
      </w:pPr>
      <w:r>
        <w:rPr>
          <w:b/>
          <w:sz w:val="42"/>
        </w:rPr>
        <w:t xml:space="preserve">Partie Chimie</w:t>
      </w:r>
    </w:p>
    <w:p>
      <w:pPr>
        <w:spacing w:after="220" w:lineRule="auto"/>
      </w:pPr>
      <w:r>
        <w:rPr>
          <w:rFonts w:eastAsia="Georgia" w:cs="Georgia" w:ascii="Georgia" w:hAnsi="Georgia"/>
        </w:rPr>
        <w:t xml:space="preserve">Le chlore est l'élément le plus commun des halogènes. Il s'agit du troisième élément le plus présent dans l'eau de mer. Le chlore est un macro-élément et il est donc indispensable au bon fonctionnement du corps humain. Sous forme de corps simple, le dichlore </w:t>
      </w:r>
      <m:oMath>
        <m:sSub>
          <m:sSubPr/>
          <m:e>
            <m:r>
              <m:rPr>
                <m:sty m:val="p"/>
              </m:rPr>
              <m:t>Cl</m:t>
            </m:r>
          </m:e>
          <m:sub>
            <m:r>
              <m:rPr>
                <m:sty m:val="p"/>
              </m:rPr>
              <m:t>2</m:t>
            </m:r>
          </m:sub>
        </m:sSub>
      </m:oMath>
      <w:r>
        <w:rPr>
          <w:rFonts w:eastAsia="Georgia" w:cs="Georgia" w:ascii="Georgia" w:hAnsi="Georgia"/>
        </w:rPr>
        <w:t xml:space="preserve">, il est utilisé comme agent blanchissant ou comme désinfectant. De nombreux composés du chlore sont métastables, c'est-à-dire qu'ils se décomposent au bout d'un certain temps mais ont une durée de vie assez longue pour pouvoir être utilisés. Citons par exemple, les solutions d'hypochlorite de sodium comme biocide, ou le dioxyde de chlore pour le blanchiment du papier.</w:t>
      </w:r>
    </w:p>
    <w:p>
      <w:pPr>
        <w:numPr>
          <w:ilvl w:val="0"/>
          <w:numId w:val="14"/>
        </w:numPr>
        <w:spacing w:lineRule="auto"/>
      </w:pPr>
      <w:r>
        <w:rPr>
          <w:rFonts w:eastAsia="Georgia" w:cs="Georgia" w:ascii="Georgia" w:hAnsi="Georgia"/>
        </w:rPr>
        <w:t xml:space="preserve">Donner le numéro atomique et la configuration électronique de l'élément chlore à l'état fondamental.</w:t>
      </w:r>
    </w:p>
    <w:p>
      <w:pPr>
        <w:spacing w:after="220" w:lineRule="auto"/>
      </w:pPr>
      <w:r>
        <w:rPr>
          <w:rFonts w:eastAsia="Georgia" w:cs="Georgia" w:ascii="Georgia" w:hAnsi="Georgia"/>
        </w:rPr>
        <w:t xml:space="preserve">Le chlore est présent à l'état naturel sous trois isotopes dont un, le </w:t>
      </w:r>
      <m:oMath>
        <m:sSup>
          <m:sSupPr/>
          <m:e>
            <m:r>
              <m:t xml:space="preserve"> </m:t>
            </m:r>
          </m:e>
          <m:sup>
            <m:r>
              <m:rPr>
                <m:sty m:val="p"/>
              </m:rPr>
              <m:t>36</m:t>
            </m:r>
          </m:sup>
        </m:sSup>
        <m:r>
          <m:rPr>
            <m:sty m:val="p"/>
          </m:rPr>
          <m:t>Cl</m:t>
        </m:r>
      </m:oMath>
      <w:r>
        <w:rPr>
          <w:rFonts w:eastAsia="Georgia" w:cs="Georgia" w:ascii="Georgia" w:hAnsi="Georgia"/>
        </w:rPr>
        <w:t xml:space="preserve">, est métastable avec une demie-vie de 308000 ans. Le </w:t>
      </w:r>
      <m:oMath>
        <m:sSup>
          <m:sSupPr/>
          <m:e>
            <m:r>
              <m:t xml:space="preserve"> </m:t>
            </m:r>
          </m:e>
          <m:sup>
            <m:r>
              <m:rPr>
                <m:sty m:val="p"/>
              </m:rPr>
              <m:t>36</m:t>
            </m:r>
          </m:sup>
        </m:sSup>
        <m:r>
          <m:rPr>
            <m:sty m:val="p"/>
          </m:rPr>
          <m:t>Cl</m:t>
        </m:r>
      </m:oMath>
      <w:r>
        <w:rPr>
          <w:rFonts w:eastAsia="Georgia" w:cs="Georgia" w:ascii="Georgia" w:hAnsi="Georgia"/>
        </w:rPr>
        <w:t xml:space="preserve"> se désintègre principalement par désintégration </w:t>
      </w:r>
      <m:oMath>
        <m:sSup>
          <m:sSupPr/>
          <m:e>
            <m:r>
              <m:rPr>
                <m:sty m:val="i"/>
              </m:rPr>
              <m:t>β</m:t>
            </m:r>
          </m:e>
          <m:sup>
            <m:r>
              <m:rPr>
                <m:sty m:val="p"/>
              </m:rPr>
              <m:t>−</m:t>
            </m:r>
          </m:sup>
        </m:sSup>
      </m:oMath>
      <w:r>
        <w:rPr>
          <w:rFonts w:eastAsia="Georgia" w:cs="Georgia" w:ascii="Georgia" w:hAnsi="Georgia"/>
        </w:rPr>
        <w:t xml:space="preserve">(émission d'un électron) à </w:t>
      </w:r>
      <m:oMath>
        <m:r>
          <m:rPr>
            <m:sty m:val="p"/>
          </m:rPr>
          <m:t>98</m:t>
        </m:r>
        <m:r>
          <m:rPr>
            <m:sty m:val="p"/>
          </m:rPr>
          <m:t>,</m:t>
        </m:r>
        <m:r>
          <m:rPr>
            <m:sty m:val="p"/>
          </m:rPr>
          <m:t>1</m:t>
        </m:r>
        <m:r>
          <m:rPr>
            <m:sty m:val="p"/>
          </m:rPr>
          <m:t>%</m:t>
        </m:r>
      </m:oMath>
      <w:r>
        <w:rPr>
          <w:rFonts w:eastAsia="Georgia" w:cs="Georgia" w:ascii="Georgia" w:hAnsi="Georgia"/>
        </w:rPr>
        <w:t xml:space="preserve">, mais aussi par désintégration </w:t>
      </w:r>
      <m:oMath>
        <m:r>
          <m:rPr>
            <m:sty m:val="i"/>
          </m:rPr>
          <m:t>ε</m:t>
        </m:r>
      </m:oMath>
      <w:r>
        <w:rPr>
          <w:rFonts w:eastAsia="Georgia" w:cs="Georgia" w:ascii="Georgia" w:hAnsi="Georgia"/>
        </w:rPr>
        <w:t xml:space="preserve"> (capture d'un électron) à </w:t>
      </w:r>
      <m:oMath>
        <m:r>
          <m:rPr>
            <m:sty m:val="p"/>
          </m:rPr>
          <m:t>1</m:t>
        </m:r>
        <m:r>
          <m:rPr>
            <m:sty m:val="p"/>
          </m:rPr>
          <m:t>,</m:t>
        </m:r>
        <m:r>
          <m:rPr>
            <m:sty m:val="p"/>
          </m:rPr>
          <m:t>9</m:t>
        </m:r>
        <m:r>
          <m:rPr>
            <m:sty m:val="p"/>
          </m:rPr>
          <m:t>%</m:t>
        </m:r>
      </m:oMath>
      <w:r>
        <w:rPr>
          <w:rFonts w:eastAsia="Georgia" w:cs="Georgia" w:ascii="Georgia" w:hAnsi="Georgia"/>
        </w:rPr>
        <w:t xml:space="preserve">. Cet isotope est utilisé dans la datation de sédiments ou de glace en géologie.</w:t>
      </w:r>
      <w:r>
        <w:rPr/>
        <w:br w:type="textWrapping"/>
      </w:r>
      <w:r>
        <w:rPr>
          <w:rFonts w:eastAsia="Georgia" w:cs="Georgia" w:ascii="Georgia" w:hAnsi="Georgia"/>
        </w:rPr>
        <w:t xml:space="preserve">2. Donner les deux équations de désintégrations nucléaires correspondantes.</w:t>
      </w:r>
    </w:p>
    <w:p>
      <w:pPr>
        <w:spacing w:line="271" w:before="330" w:lineRule="auto"/>
      </w:pPr>
      <w:r>
        <w:rPr>
          <w:rFonts w:eastAsia="Georgia" w:cs="Georgia" w:ascii="Georgia" w:hAnsi="Georgia"/>
          <w:b/>
          <w:sz w:val="42"/>
        </w:rPr>
        <w:t xml:space="preserve">1 Étude de la stabilité des ions diatomiques du chlore en phase gaz.</w:t>
      </w:r>
    </w:p>
    <w:p>
      <w:pPr>
        <w:spacing w:after="220" w:lineRule="auto"/>
      </w:pPr>
      <w:r>
        <w:rPr>
          <w:rFonts w:eastAsia="Georgia" w:cs="Georgia" w:ascii="Georgia" w:hAnsi="Georgia"/>
        </w:rPr>
        <w:t xml:space="preserve">Nous allons nous intéresser dans cette partie aux ions simplement chargés et doublement chargés de la molécule de dichlore </w:t>
      </w:r>
      <m:oMath>
        <m:sSub>
          <m:sSubPr/>
          <m:e>
            <m:r>
              <m:rPr>
                <m:sty m:val="p"/>
              </m:rPr>
              <m:t>Cl</m:t>
            </m:r>
          </m:e>
          <m:sub>
            <m:r>
              <m:rPr>
                <m:sty m:val="p"/>
              </m:rPr>
              <m:t>2</m:t>
            </m:r>
          </m:sub>
        </m:sSub>
      </m:oMath>
      <w:r>
        <w:rPr>
          <w:rFonts w:eastAsia="Georgia" w:cs="Georgia" w:ascii="Georgia" w:hAnsi="Georgia"/>
        </w:rPr>
        <w:t xml:space="preserve"> et à leurs stabilités. On considère donc les cations </w:t>
      </w:r>
      <m:oMath>
        <m:sSub>
          <m:sSubPr/>
          <m:e>
            <m:r>
              <m:rPr>
                <m:sty m:val="p"/>
              </m:rPr>
              <m:t>Cl</m:t>
            </m:r>
          </m:e>
          <m:sub>
            <m:r>
              <m:rPr>
                <m:sty m:val="p"/>
              </m:rPr>
              <m:t>2</m:t>
            </m:r>
          </m:sub>
        </m:sSub>
        <m:sSup>
          <m:sSupPr/>
          <m:e>
            <m:r>
              <m:t xml:space="preserve"> </m:t>
            </m:r>
          </m:e>
          <m:sup>
            <m:r>
              <m:rPr>
                <m:sty m:val="p"/>
              </m:rPr>
              <m:t>+</m:t>
            </m:r>
          </m:sup>
        </m:sSup>
      </m:oMath>
      <w:r>
        <w:rPr/>
        <w:t xml:space="preserve">et </w:t>
      </w:r>
      <m:oMath>
        <m:sSub>
          <m:sSubPr/>
          <m:e>
            <m:r>
              <m:rPr>
                <m:sty m:val="p"/>
              </m:rPr>
              <m:t>Cl</m:t>
            </m:r>
          </m:e>
          <m:sub>
            <m:r>
              <m:rPr>
                <m:sty m:val="p"/>
              </m:rPr>
              <m:t>2</m:t>
            </m:r>
          </m:sub>
        </m:sSub>
        <m:sSup>
          <m:sSupPr/>
          <m:e>
            <m:r>
              <m:t xml:space="preserve"> </m:t>
            </m:r>
          </m:e>
          <m:sup>
            <m:r>
              <m:rPr>
                <m:sty m:val="p"/>
              </m:rPr>
              <m:t>2</m:t>
            </m:r>
            <m:r>
              <m:rPr>
                <m:sty m:val="p"/>
              </m:rPr>
              <m:t>+</m:t>
            </m:r>
          </m:sup>
        </m:sSup>
      </m:oMath>
      <w:r>
        <w:rPr/>
        <w:t xml:space="preserve"> ainsi que les anions </w:t>
      </w:r>
      <m:oMath>
        <m:sSub>
          <m:sSubPr/>
          <m:e>
            <m:r>
              <m:rPr>
                <m:sty m:val="p"/>
              </m:rPr>
              <m:t>Cl</m:t>
            </m:r>
          </m:e>
          <m:sub>
            <m:r>
              <m:rPr>
                <m:sty m:val="p"/>
              </m:rPr>
              <m:t>2</m:t>
            </m:r>
          </m:sub>
        </m:sSub>
        <m:sSup>
          <m:sSupPr/>
          <m:e>
            <m:r>
              <m:t xml:space="preserve"> </m:t>
            </m:r>
          </m:e>
          <m:sup>
            <m:r>
              <m:rPr>
                <m:sty m:val="p"/>
              </m:rPr>
              <m:t>−</m:t>
            </m:r>
          </m:sup>
        </m:sSup>
      </m:oMath>
      <w:r>
        <w:rPr/>
        <w:t xml:space="preserve">et </w:t>
      </w:r>
      <m:oMath>
        <m:sSub>
          <m:sSubPr/>
          <m:e>
            <m:r>
              <m:rPr>
                <m:sty m:val="p"/>
              </m:rPr>
              <m:t>Cl</m:t>
            </m:r>
          </m:e>
          <m:sub>
            <m:r>
              <m:rPr>
                <m:sty m:val="p"/>
              </m:rPr>
              <m:t>2</m:t>
            </m:r>
          </m:sub>
        </m:sSub>
        <m:sSup>
          <m:sSupPr/>
          <m:e>
            <m:r>
              <m:t xml:space="preserve"> </m:t>
            </m:r>
          </m:e>
          <m:sup>
            <m:r>
              <m:rPr>
                <m:sty m:val="p"/>
              </m:rPr>
              <m:t>2</m:t>
            </m:r>
            <m:r>
              <m:rPr>
                <m:sty m:val="p"/>
              </m:rPr>
              <m:t>−</m:t>
            </m:r>
          </m:sup>
        </m:sSup>
      </m:oMath>
      <w:r>
        <w:rPr>
          <w:rFonts w:eastAsia="Georgia" w:cs="Georgia" w:ascii="Georgia" w:hAnsi="Georgia"/>
        </w:rPr>
        <w:t xml:space="preserve"> en phase gaz. Les données sur ces différents composés sont données en Annexe.</w:t>
      </w:r>
      <w:r>
        <w:rPr/>
        <w:br w:type="textWrapping"/>
      </w:r>
      <w:r>
        <w:rPr>
          <w:rFonts w:eastAsia="Georgia" w:cs="Georgia" w:ascii="Georgia" w:hAnsi="Georgia"/>
        </w:rPr>
        <w:t xml:space="preserve">3. Construire le diagramme d'orbitales moléculaires de la molécule diatomique </w:t>
      </w:r>
      <m:oMath>
        <m:sSub>
          <m:sSubPr/>
          <m:e>
            <m:r>
              <m:rPr>
                <m:sty m:val="p"/>
              </m:rPr>
              <m:t>Cl</m:t>
            </m:r>
          </m:e>
          <m:sub>
            <m:r>
              <m:rPr>
                <m:sty m:val="p"/>
              </m:rPr>
              <m:t>2</m:t>
            </m:r>
          </m:sub>
        </m:sSub>
      </m:oMath>
      <w:r>
        <w:rPr>
          <w:rFonts w:eastAsia="Georgia" w:cs="Georgia" w:ascii="Georgia" w:hAnsi="Georgia"/>
        </w:rPr>
        <w:t xml:space="preserve">. On précisera l'allure des orbitales et on négligera pour simplifier toutes les interactions entre les orbitales </w:t>
      </w:r>
      <m:oMath>
        <m:r>
          <m:rPr>
            <m:sty m:val="i"/>
          </m:rPr>
          <m:t>s</m:t>
        </m:r>
      </m:oMath>
      <w:r>
        <w:rPr/>
        <w:t xml:space="preserve"> et </w:t>
      </w:r>
      <m:oMath>
        <m:r>
          <m:rPr>
            <m:sty m:val="i"/>
          </m:rPr>
          <m:t>p</m:t>
        </m:r>
      </m:oMath>
      <w:r>
        <w:rPr>
          <w:rFonts w:eastAsia="Georgia" w:cs="Georgia" w:ascii="Georgia" w:hAnsi="Georgia"/>
        </w:rPr>
        <w:t xml:space="preserve">. On placera de manière qualitative, les niveaux énergétiques des orbitales atomiques de chacun des atomes par rapport aux orbitales moléculaires formées.</w:t>
      </w:r>
      <w:r>
        <w:rPr/>
        <w:br w:type="textWrapping"/>
      </w:r>
      <w:r>
        <w:rPr>
          <w:rFonts w:eastAsia="Georgia" w:cs="Georgia" w:ascii="Georgia" w:hAnsi="Georgia"/>
        </w:rPr>
        <w:t xml:space="preserve">4. Calculer l'indice de liaison de la molécule de dichlore ainsi que de ses quatre ions.</w:t>
      </w:r>
      <w:r>
        <w:rPr/>
        <w:br w:type="textWrapping"/>
      </w:r>
      <w:r>
        <w:rPr>
          <w:rFonts w:eastAsia="Georgia" w:cs="Georgia" w:ascii="Georgia" w:hAnsi="Georgia"/>
        </w:rPr>
        <w:t xml:space="preserve">5. Justifier que le dianion n'est pas stable et écrire l'équation de la réaction qui se déroule spontanément.</w:t>
      </w:r>
      <w:r>
        <w:rPr/>
        <w:br w:type="textWrapping"/>
      </w:r>
      <w:r>
        <w:rPr>
          <w:rFonts w:eastAsia="Georgia" w:cs="Georgia" w:ascii="Georgia" w:hAnsi="Georgia"/>
        </w:rPr>
        <w:t xml:space="preserve">6. Commenter la différence de longueur de liaison observée entre l'ion </w:t>
      </w:r>
      <m:oMath>
        <m:sSub>
          <m:sSubPr/>
          <m:e>
            <m:r>
              <m:rPr>
                <m:sty m:val="p"/>
              </m:rPr>
              <m:t>Cl</m:t>
            </m:r>
          </m:e>
          <m:sub>
            <m:r>
              <m:rPr>
                <m:sty m:val="p"/>
              </m:rPr>
              <m:t>2</m:t>
            </m:r>
          </m:sub>
        </m:sSub>
        <m:sSup>
          <m:sSupPr/>
          <m:e>
            <m:r>
              <m:t xml:space="preserve"> </m:t>
            </m:r>
          </m:e>
          <m:sup>
            <m:r>
              <m:rPr>
                <m:sty m:val="p"/>
              </m:rPr>
              <m:t>+</m:t>
            </m:r>
          </m:sup>
        </m:sSup>
      </m:oMath>
      <w:r>
        <w:rPr>
          <w:rFonts w:eastAsia="Georgia" w:cs="Georgia" w:ascii="Georgia" w:hAnsi="Georgia"/>
        </w:rPr>
        <w:t xml:space="preserve">et la molécule </w:t>
      </w:r>
      <m:oMath>
        <m:sSub>
          <m:sSubPr/>
          <m:e>
            <m:r>
              <m:rPr>
                <m:sty m:val="p"/>
              </m:rPr>
              <m:t>Cl</m:t>
            </m:r>
          </m:e>
          <m:sub>
            <m:r>
              <m:rPr>
                <m:sty m:val="p"/>
              </m:rPr>
              <m:t>2</m:t>
            </m:r>
          </m:sub>
        </m:sSub>
      </m:oMath>
      <w:r>
        <w:rPr/>
        <w:t xml:space="preserve">.</w:t>
      </w:r>
    </w:p>
    <w:p>
      <w:pPr>
        <w:spacing w:after="220" w:lineRule="auto"/>
      </w:pPr>
      <w:r>
        <w:rPr>
          <w:rFonts w:eastAsia="Georgia" w:cs="Georgia" w:ascii="Georgia" w:hAnsi="Georgia"/>
        </w:rPr>
        <w:t xml:space="preserve">L'énergie de première ionisation </w:t>
      </w:r>
      <m:oMath>
        <m:sSub>
          <m:sSubPr/>
          <m:e>
            <m:r>
              <m:rPr>
                <m:sty m:val="i"/>
              </m:rPr>
              <m:t>E</m:t>
            </m:r>
          </m:e>
          <m:sub>
            <m:r>
              <m:rPr>
                <m:sty m:val="p"/>
              </m:rPr>
              <m:t>i</m:t>
            </m:r>
            <m:r>
              <m:rPr>
                <m:sty m:val="p"/>
              </m:rPr>
              <m:t>,</m:t>
            </m:r>
            <m:r>
              <m:rPr>
                <m:sty m:val="p"/>
              </m:rPr>
              <m:t>1</m:t>
            </m:r>
          </m:sub>
        </m:sSub>
      </m:oMath>
      <w:r>
        <w:rPr>
          <w:rFonts w:eastAsia="Georgia" w:cs="Georgia" w:ascii="Georgia" w:hAnsi="Georgia"/>
        </w:rPr>
        <w:t xml:space="preserve"> correspond à l'énergie nécessaire pour arracher un électron en phase gaz à une espèce neutre alors que l'énergie de deuxième ionisation </w:t>
      </w:r>
      <m:oMath>
        <m:sSub>
          <m:sSubPr/>
          <m:e>
            <m:r>
              <m:rPr>
                <m:sty m:val="i"/>
              </m:rPr>
              <m:t>E</m:t>
            </m:r>
          </m:e>
          <m:sub>
            <m:r>
              <m:rPr>
                <m:sty m:val="p"/>
              </m:rPr>
              <m:t>i</m:t>
            </m:r>
            <m:r>
              <m:rPr>
                <m:sty m:val="p"/>
              </m:rPr>
              <m:t>,</m:t>
            </m:r>
            <m:r>
              <m:rPr>
                <m:sty m:val="p"/>
              </m:rPr>
              <m:t>2</m:t>
            </m:r>
          </m:sub>
        </m:sSub>
      </m:oMath>
      <w:r>
        <w:rPr>
          <w:rFonts w:eastAsia="Georgia" w:cs="Georgia" w:ascii="Georgia" w:hAnsi="Georgia"/>
        </w:rPr>
        <w:t xml:space="preserve"> correspond à l'énergie nécessaire pour arracher un électron en phase gaz à un cation simplement chargé. L'affinité électronique </w:t>
      </w:r>
      <m:oMath>
        <m:sSub>
          <m:sSubPr/>
          <m:e>
            <m:r>
              <m:rPr>
                <m:sty m:val="i"/>
              </m:rPr>
              <m:t>E</m:t>
            </m:r>
          </m:e>
          <m:sub>
            <m:r>
              <m:rPr>
                <m:sty m:val="p"/>
              </m:rPr>
              <m:t>ae</m:t>
            </m:r>
          </m:sub>
        </m:sSub>
      </m:oMath>
      <w:r>
        <w:rPr>
          <w:rFonts w:eastAsia="Georgia" w:cs="Georgia" w:ascii="Georgia" w:hAnsi="Georgia"/>
        </w:rPr>
        <w:t xml:space="preserve"> correspond à l'énergie nécessaire pour détacher un électron en phase gaz d'un anion simplement chargé.</w:t>
      </w:r>
    </w:p>
    <w:p>
      <w:pPr>
        <w:spacing w:after="220" w:lineRule="auto"/>
      </w:pPr>
      <m:oMathPara>
        <m:oMath>
          <m:m>
            <m:mPr>
              <m:plcHide m:val="1"/>
              <m:cGpRule m:val="4"/>
              <m:mcs>
                <m:mc>
                  <m:mcPr>
                    <m:count m:val="1"/>
                    <m:mcJc m:val="right"/>
                  </m:mcPr>
                </m:mc>
                <m:mc>
                  <m:mcPr>
                    <m:count m:val="1"/>
                    <m:mcJc m:val="left"/>
                  </m:mcPr>
                </m:mc>
              </m:mcs>
              <m:ctrlPr>
                <w:rPr>
                  <w:rFonts w:ascii="Cambria Math" w:hAnsi="Cambria Math"/>
                  <w:i/>
                </w:rPr>
              </m:ctrlPr>
            </m:mPr>
            <m:mr>
              <m:e>
                <m:r>
                  <m:rPr>
                    <m:sty m:val="p"/>
                  </m:rPr>
                  <m:t>M</m:t>
                </m:r>
                <m:r>
                  <m:rPr>
                    <m:sty m:val="p"/>
                  </m:rPr>
                  <m:t>(</m:t>
                </m:r>
                <m:r>
                  <m:rPr>
                    <m:nor/>
                  </m:rPr>
                  <m:t xml:space="preserve"> </m:t>
                </m:r>
                <m:r>
                  <m:rPr>
                    <m:sty m:val="p"/>
                  </m:rPr>
                  <m:t>g</m:t>
                </m:r>
                <m:r>
                  <m:rPr>
                    <m:sty m:val="p"/>
                  </m:rPr>
                  <m:t>)</m:t>
                </m:r>
                <m:r>
                  <m:rPr>
                    <m:sty m:val="p"/>
                  </m:rPr>
                  <m:t>→</m:t>
                </m:r>
                <m:sSup>
                  <m:sSupPr/>
                  <m:e>
                    <m:r>
                      <m:rPr>
                        <m:sty m:val="p"/>
                      </m:rPr>
                      <m:t>M</m:t>
                    </m:r>
                  </m:e>
                  <m:sup>
                    <m:r>
                      <m:rPr>
                        <m:sty m:val="p"/>
                      </m:rPr>
                      <m:t>+</m:t>
                    </m:r>
                  </m:sup>
                </m:sSup>
                <m:r>
                  <m:rPr>
                    <m:sty m:val="p"/>
                  </m:rPr>
                  <m:t>(</m:t>
                </m:r>
                <m:r>
                  <m:rPr>
                    <m:sty m:val="p"/>
                  </m:rPr>
                  <m:t>g</m:t>
                </m:r>
                <m:r>
                  <m:rPr>
                    <m:sty m:val="p"/>
                  </m:rPr>
                  <m:t>)</m:t>
                </m:r>
                <m:r>
                  <m:rPr>
                    <m:sty m:val="p"/>
                  </m:rPr>
                  <m:t>+</m:t>
                </m:r>
                <m:sSup>
                  <m:sSupPr/>
                  <m:e>
                    <m:r>
                      <m:rPr>
                        <m:sty m:val="p"/>
                      </m:rPr>
                      <m:t>e</m:t>
                    </m:r>
                  </m:e>
                  <m:sup>
                    <m:r>
                      <m:rPr>
                        <m:sty m:val="p"/>
                      </m:rPr>
                      <m:t>−</m:t>
                    </m:r>
                  </m:sup>
                </m:sSup>
              </m:e>
              <m:e>
                <m:sSub>
                  <m:sSubPr/>
                  <m:e>
                    <m:r>
                      <m:rPr>
                        <m:sty m:val="i"/>
                      </m:rPr>
                      <m:t>E</m:t>
                    </m:r>
                  </m:e>
                  <m:sub>
                    <m:r>
                      <m:rPr>
                        <m:sty m:val="p"/>
                      </m:rPr>
                      <m:t>i</m:t>
                    </m:r>
                    <m:r>
                      <m:rPr>
                        <m:sty m:val="p"/>
                      </m:rPr>
                      <m:t>,</m:t>
                    </m:r>
                    <m:r>
                      <m:rPr>
                        <m:sty m:val="p"/>
                      </m:rPr>
                      <m:t>1</m:t>
                    </m:r>
                  </m:sub>
                </m:sSub>
              </m:e>
            </m:mr>
            <m:mr>
              <m:e>
                <m:sSup>
                  <m:sSupPr/>
                  <m:e>
                    <m:r>
                      <m:rPr>
                        <m:sty m:val="p"/>
                      </m:rPr>
                      <m:t>M</m:t>
                    </m:r>
                  </m:e>
                  <m:sup>
                    <m:r>
                      <m:rPr>
                        <m:sty m:val="p"/>
                      </m:rPr>
                      <m:t>+</m:t>
                    </m:r>
                  </m:sup>
                </m:sSup>
                <m:r>
                  <m:rPr>
                    <m:sty m:val="p"/>
                  </m:rPr>
                  <m:t>(</m:t>
                </m:r>
                <m:r>
                  <m:rPr>
                    <m:sty m:val="p"/>
                  </m:rPr>
                  <m:t>g</m:t>
                </m:r>
                <m:r>
                  <m:rPr>
                    <m:sty m:val="p"/>
                  </m:rPr>
                  <m:t>)</m:t>
                </m:r>
                <m:r>
                  <m:rPr>
                    <m:sty m:val="p"/>
                  </m:rPr>
                  <m:t>→</m:t>
                </m:r>
                <m:sSup>
                  <m:sSupPr/>
                  <m:e>
                    <m:r>
                      <m:rPr>
                        <m:sty m:val="p"/>
                      </m:rPr>
                      <m:t>M</m:t>
                    </m:r>
                  </m:e>
                  <m:sup>
                    <m:r>
                      <m:rPr>
                        <m:sty m:val="p"/>
                      </m:rPr>
                      <m:t>2</m:t>
                    </m:r>
                    <m:r>
                      <m:rPr>
                        <m:sty m:val="p"/>
                      </m:rPr>
                      <m:t>+</m:t>
                    </m:r>
                  </m:sup>
                </m:sSup>
                <m:r>
                  <m:rPr>
                    <m:sty m:val="p"/>
                  </m:rPr>
                  <m:t>(</m:t>
                </m:r>
                <m:r>
                  <m:rPr>
                    <m:sty m:val="p"/>
                  </m:rPr>
                  <m:t>g</m:t>
                </m:r>
                <m:r>
                  <m:rPr>
                    <m:sty m:val="p"/>
                  </m:rPr>
                  <m:t>)</m:t>
                </m:r>
                <m:r>
                  <m:rPr>
                    <m:sty m:val="p"/>
                  </m:rPr>
                  <m:t>+</m:t>
                </m:r>
                <m:sSup>
                  <m:sSupPr/>
                  <m:e>
                    <m:r>
                      <m:rPr>
                        <m:sty m:val="p"/>
                      </m:rPr>
                      <m:t>e</m:t>
                    </m:r>
                  </m:e>
                  <m:sup>
                    <m:r>
                      <m:rPr>
                        <m:sty m:val="p"/>
                      </m:rPr>
                      <m:t>−</m:t>
                    </m:r>
                  </m:sup>
                </m:sSup>
              </m:e>
              <m:e>
                <m:sSub>
                  <m:sSubPr/>
                  <m:e>
                    <m:r>
                      <m:rPr>
                        <m:sty m:val="i"/>
                      </m:rPr>
                      <m:t>E</m:t>
                    </m:r>
                  </m:e>
                  <m:sub>
                    <m:r>
                      <m:rPr>
                        <m:sty m:val="p"/>
                      </m:rPr>
                      <m:t>i</m:t>
                    </m:r>
                    <m:r>
                      <m:rPr>
                        <m:sty m:val="p"/>
                      </m:rPr>
                      <m:t>,</m:t>
                    </m:r>
                    <m:r>
                      <m:rPr>
                        <m:sty m:val="p"/>
                      </m:rPr>
                      <m:t>2</m:t>
                    </m:r>
                  </m:sub>
                </m:sSub>
              </m:e>
            </m:mr>
            <m:mr>
              <m:e>
                <m:sSup>
                  <m:sSupPr/>
                  <m:e>
                    <m:r>
                      <m:rPr>
                        <m:sty m:val="p"/>
                      </m:rPr>
                      <m:t>M</m:t>
                    </m:r>
                  </m:e>
                  <m:sup>
                    <m:r>
                      <m:rPr>
                        <m:sty m:val="p"/>
                      </m:rPr>
                      <m:t>−</m:t>
                    </m:r>
                  </m:sup>
                </m:sSup>
                <m:r>
                  <m:rPr>
                    <m:sty m:val="p"/>
                  </m:rPr>
                  <m:t>(</m:t>
                </m:r>
                <m:r>
                  <m:rPr>
                    <m:sty m:val="p"/>
                  </m:rPr>
                  <m:t>g</m:t>
                </m:r>
                <m:r>
                  <m:rPr>
                    <m:sty m:val="p"/>
                  </m:rPr>
                  <m:t>)</m:t>
                </m:r>
                <m:r>
                  <m:rPr>
                    <m:sty m:val="p"/>
                  </m:rPr>
                  <m:t>→</m:t>
                </m:r>
                <m:r>
                  <m:rPr>
                    <m:sty m:val="p"/>
                  </m:rPr>
                  <m:t>M</m:t>
                </m:r>
                <m:r>
                  <m:rPr>
                    <m:sty m:val="p"/>
                  </m:rPr>
                  <m:t>(</m:t>
                </m:r>
                <m:r>
                  <m:rPr>
                    <m:nor/>
                  </m:rPr>
                  <m:t xml:space="preserve"> </m:t>
                </m:r>
                <m:r>
                  <m:rPr>
                    <m:sty m:val="p"/>
                  </m:rPr>
                  <m:t>g</m:t>
                </m:r>
                <m:r>
                  <m:rPr>
                    <m:sty m:val="p"/>
                  </m:rPr>
                  <m:t>)</m:t>
                </m:r>
                <m:r>
                  <m:rPr>
                    <m:sty m:val="p"/>
                  </m:rPr>
                  <m:t>+</m:t>
                </m:r>
                <m:sSup>
                  <m:sSupPr/>
                  <m:e>
                    <m:r>
                      <m:rPr>
                        <m:sty m:val="p"/>
                      </m:rPr>
                      <m:t>e</m:t>
                    </m:r>
                  </m:e>
                  <m:sup>
                    <m:r>
                      <m:rPr>
                        <m:sty m:val="p"/>
                      </m:rPr>
                      <m:t>−</m:t>
                    </m:r>
                  </m:sup>
                </m:sSup>
              </m:e>
              <m:e>
                <m:sSub>
                  <m:sSubPr/>
                  <m:e>
                    <m:r>
                      <m:rPr>
                        <m:sty m:val="i"/>
                      </m:rPr>
                      <m:t>E</m:t>
                    </m:r>
                  </m:e>
                  <m:sub>
                    <m:r>
                      <m:rPr>
                        <m:sty m:val="p"/>
                      </m:rPr>
                      <m:t>ae</m:t>
                    </m:r>
                  </m:sub>
                </m:sSub>
              </m:e>
            </m:mr>
          </m:m>
        </m:oMath>
      </m:oMathPara>
    </w:p>
    <w:p>
      <w:pPr>
        <w:numPr>
          <w:ilvl w:val="0"/>
          <w:numId w:val="15"/>
        </w:numPr>
        <w:spacing w:lineRule="auto"/>
      </w:pPr>
      <w:r>
        <w:rPr>
          <w:rFonts w:eastAsia="Georgia" w:cs="Georgia" w:ascii="Georgia" w:hAnsi="Georgia"/>
        </w:rPr>
        <w:t xml:space="preserve">Justifier, à l'aide du diagramme d'orbitales moléculaires, que l'énergie de première ionisation de l'atome Cl soit plus grande que celle de la molécule de </w:t>
      </w:r>
      <m:oMath>
        <m:sSub>
          <m:sSubPr/>
          <m:e>
            <m:r>
              <m:rPr>
                <m:sty m:val="p"/>
              </m:rPr>
              <m:t>Cl</m:t>
            </m:r>
          </m:e>
          <m:sub>
            <m:r>
              <m:rPr>
                <m:sty m:val="p"/>
              </m:rPr>
              <m:t>2</m:t>
            </m:r>
          </m:sub>
        </m:sSub>
      </m:oMath>
      <w:r>
        <w:rPr/>
        <w:t xml:space="preserve">.</w:t>
      </w:r>
      <w:r>
        <w:rPr/>
        <w:br w:type="textWrapping"/>
      </w:r>
      <w:r>
        <w:rPr>
          <w:rFonts w:eastAsia="Georgia" w:cs="Georgia" w:ascii="Georgia" w:hAnsi="Georgia"/>
        </w:rPr>
        <w:t xml:space="preserve">Nous allons maintenant étudier la stabilité des différents ions par rapport à la dissociation. Dans le cas du cation simplement chargé cette dissociation se déroule selon la réaction (I).</w:t>
      </w:r>
    </w:p>
    <w:p>
      <w:pPr>
        <w:spacing w:after="220" w:lineRule="auto"/>
      </w:pPr>
      <m:oMathPara>
        <m:oMath>
          <m:sSubSup>
            <m:sSubSupPr/>
            <m:e>
              <m:r>
                <m:rPr>
                  <m:sty m:val="p"/>
                </m:rPr>
                <m:t>Cl</m:t>
              </m:r>
            </m:e>
            <m:sub>
              <m:r>
                <m:rPr>
                  <m:sty m:val="p"/>
                </m:rPr>
                <m:t>2</m:t>
              </m:r>
            </m:sub>
            <m:sup>
              <m:r>
                <m:rPr>
                  <m:sty m:val="p"/>
                </m:rPr>
                <m:t>+</m:t>
              </m:r>
            </m:sup>
          </m:sSubSup>
          <m:r>
            <m:rPr>
              <m:sty m:val="p"/>
            </m:rPr>
            <m:t>(</m:t>
          </m:r>
          <m:r>
            <m:rPr>
              <m:sty m:val="p"/>
            </m:rPr>
            <m:t>g</m:t>
          </m:r>
          <m:r>
            <m:rPr>
              <m:sty m:val="p"/>
            </m:rPr>
            <m:t>)</m:t>
          </m:r>
          <m:r>
            <m:rPr>
              <m:sty m:val="p"/>
            </m:rPr>
            <m:t>→</m:t>
          </m:r>
          <m:r>
            <m:rPr>
              <m:sty m:val="p"/>
            </m:rPr>
            <m:t>Cl</m:t>
          </m:r>
          <m:r>
            <m:rPr>
              <m:sty m:val="p"/>
            </m:rPr>
            <m:t>(</m:t>
          </m:r>
          <m:r>
            <m:rPr>
              <m:nor/>
            </m:rPr>
            <m:t xml:space="preserve"> </m:t>
          </m:r>
          <m:r>
            <m:rPr>
              <m:sty m:val="p"/>
            </m:rPr>
            <m:t>g</m:t>
          </m:r>
          <m:r>
            <m:rPr>
              <m:sty m:val="p"/>
            </m:rPr>
            <m:t>)</m:t>
          </m:r>
          <m:r>
            <m:rPr>
              <m:sty m:val="p"/>
            </m:rPr>
            <m:t>+</m:t>
          </m:r>
          <m:sSup>
            <m:sSupPr/>
            <m:e>
              <m:r>
                <m:rPr>
                  <m:sty m:val="p"/>
                </m:rPr>
                <m:t>Cl</m:t>
              </m:r>
            </m:e>
            <m:sup>
              <m:r>
                <m:rPr>
                  <m:sty m:val="p"/>
                </m:rPr>
                <m:t>+</m:t>
              </m:r>
            </m:sup>
          </m:sSup>
          <m:r>
            <m:rPr>
              <m:sty m:val="p"/>
            </m:rPr>
            <m:t>(</m:t>
          </m:r>
          <m:r>
            <m:rPr>
              <m:sty m:val="p"/>
            </m:rPr>
            <m:t>g</m:t>
          </m:r>
          <m:r>
            <m:rPr>
              <m:sty m:val="p"/>
            </m:rPr>
            <m:t>)</m:t>
          </m:r>
        </m:oMath>
      </m:oMathPara>
    </w:p>
    <w:p>
      <w:pPr>
        <w:spacing w:after="220" w:lineRule="auto"/>
      </w:pPr>
      <w:r>
        <w:rPr>
          <w:rFonts w:eastAsia="Georgia" w:cs="Georgia" w:ascii="Georgia" w:hAnsi="Georgia"/>
        </w:rPr>
        <w:t xml:space="preserve">Dans le cas de l'anion simplement chargé cette dissociation se déroule selon la réaction (II).</w:t>
      </w:r>
    </w:p>
    <w:p>
      <w:pPr>
        <w:spacing w:after="220" w:lineRule="auto"/>
      </w:pPr>
      <m:oMathPara>
        <m:oMath>
          <m:sSubSup>
            <m:sSubSupPr/>
            <m:e>
              <m:r>
                <m:rPr>
                  <m:sty m:val="p"/>
                </m:rPr>
                <m:t>Cl</m:t>
              </m:r>
            </m:e>
            <m:sub>
              <m:r>
                <m:rPr>
                  <m:sty m:val="p"/>
                </m:rPr>
                <m:t>2</m:t>
              </m:r>
            </m:sub>
            <m:sup>
              <m:r>
                <m:rPr>
                  <m:sty m:val="p"/>
                </m:rPr>
                <m:t>−</m:t>
              </m:r>
            </m:sup>
          </m:sSubSup>
          <m:r>
            <m:rPr>
              <m:sty m:val="p"/>
            </m:rPr>
            <m:t>(</m:t>
          </m:r>
          <m:r>
            <m:rPr>
              <m:sty m:val="p"/>
            </m:rPr>
            <m:t>g</m:t>
          </m:r>
          <m:r>
            <m:rPr>
              <m:sty m:val="p"/>
            </m:rPr>
            <m:t>)</m:t>
          </m:r>
          <m:r>
            <m:rPr>
              <m:sty m:val="p"/>
            </m:rPr>
            <m:t>→</m:t>
          </m:r>
          <m:r>
            <m:rPr>
              <m:sty m:val="p"/>
            </m:rPr>
            <m:t>Cl</m:t>
          </m:r>
          <m:r>
            <m:rPr>
              <m:sty m:val="p"/>
            </m:rPr>
            <m:t>(</m:t>
          </m:r>
          <m:r>
            <m:rPr>
              <m:nor/>
            </m:rPr>
            <m:t xml:space="preserve"> </m:t>
          </m:r>
          <m:r>
            <m:rPr>
              <m:sty m:val="p"/>
            </m:rPr>
            <m:t>g</m:t>
          </m:r>
          <m:r>
            <m:rPr>
              <m:sty m:val="p"/>
            </m:rPr>
            <m:t>)</m:t>
          </m:r>
          <m:r>
            <m:rPr>
              <m:sty m:val="p"/>
            </m:rPr>
            <m:t>+</m:t>
          </m:r>
          <m:sSup>
            <m:sSupPr/>
            <m:e>
              <m:r>
                <m:rPr>
                  <m:sty m:val="p"/>
                </m:rPr>
                <m:t>Cl</m:t>
              </m:r>
            </m:e>
            <m:sup>
              <m:r>
                <m:rPr>
                  <m:sty m:val="p"/>
                </m:rPr>
                <m:t>−</m:t>
              </m:r>
            </m:sup>
          </m:sSup>
          <m:r>
            <m:rPr>
              <m:sty m:val="p"/>
            </m:rPr>
            <m:t>(</m:t>
          </m:r>
          <m:r>
            <m:rPr>
              <m:sty m:val="p"/>
            </m:rPr>
            <m:t>g</m:t>
          </m:r>
          <m:r>
            <m:rPr>
              <m:sty m:val="p"/>
            </m:rPr>
            <m:t>)</m:t>
          </m:r>
        </m:oMath>
      </m:oMathPara>
    </w:p>
    <w:p>
      <w:pPr>
        <w:spacing w:after="220" w:lineRule="auto"/>
      </w:pPr>
      <w:r>
        <w:rPr>
          <w:rFonts w:eastAsia="Georgia" w:cs="Georgia" w:ascii="Georgia" w:hAnsi="Georgia"/>
        </w:rPr>
        <w:t xml:space="preserve">Dans le cas du cation doublement chargé, cette dissociation peut se dérouler de deux manières différentes (III) et (IV).</w:t>
      </w:r>
    </w:p>
    <w:p>
      <w:pPr>
        <w:spacing w:after="220" w:lineRule="auto"/>
      </w:pPr>
      <m:oMathPara>
        <m:oMath>
          <m:sSubSup>
            <m:sSubSupPr/>
            <m:e>
              <m:r>
                <m:rPr>
                  <m:sty m:val="p"/>
                </m:rPr>
                <m:t>Cl</m:t>
              </m:r>
            </m:e>
            <m:sub>
              <m:r>
                <m:rPr>
                  <m:sty m:val="p"/>
                </m:rPr>
                <m:t>2</m:t>
              </m:r>
            </m:sub>
            <m:sup>
              <m:r>
                <m:rPr>
                  <m:sty m:val="p"/>
                </m:rPr>
                <m:t>2</m:t>
              </m:r>
              <m:r>
                <m:rPr>
                  <m:sty m:val="p"/>
                </m:rPr>
                <m:t>+</m:t>
              </m:r>
            </m:sup>
          </m:sSubSup>
          <m:r>
            <m:rPr>
              <m:sty m:val="p"/>
            </m:rPr>
            <m:t>(</m:t>
          </m:r>
          <m:r>
            <m:rPr>
              <m:sty m:val="p"/>
            </m:rPr>
            <m:t>g</m:t>
          </m:r>
          <m:r>
            <m:rPr>
              <m:sty m:val="p"/>
            </m:rPr>
            <m:t>)</m:t>
          </m:r>
          <m:r>
            <m:rPr>
              <m:sty m:val="p"/>
            </m:rPr>
            <m:t>→</m:t>
          </m:r>
          <m:sSup>
            <m:sSupPr/>
            <m:e>
              <m:r>
                <m:rPr>
                  <m:sty m:val="p"/>
                </m:rPr>
                <m:t>Cl</m:t>
              </m:r>
            </m:e>
            <m:sup>
              <m:r>
                <m:rPr>
                  <m:sty m:val="p"/>
                </m:rPr>
                <m:t>+</m:t>
              </m:r>
            </m:sup>
          </m:sSup>
          <m:r>
            <m:rPr>
              <m:sty m:val="p"/>
            </m:rPr>
            <m:t>(</m:t>
          </m:r>
          <m:r>
            <m:rPr>
              <m:sty m:val="p"/>
            </m:rPr>
            <m:t>g</m:t>
          </m:r>
          <m:r>
            <m:rPr>
              <m:sty m:val="p"/>
            </m:rPr>
            <m:t>)</m:t>
          </m:r>
          <m:r>
            <m:rPr>
              <m:sty m:val="p"/>
            </m:rPr>
            <m:t>+</m:t>
          </m:r>
          <m:sSup>
            <m:sSupPr/>
            <m:e>
              <m:r>
                <m:rPr>
                  <m:sty m:val="p"/>
                </m:rPr>
                <m:t>Cl</m:t>
              </m:r>
            </m:e>
            <m:sup>
              <m:r>
                <m:rPr>
                  <m:sty m:val="p"/>
                </m:rPr>
                <m:t>+</m:t>
              </m:r>
            </m:sup>
          </m:sSup>
          <m:r>
            <m:rPr>
              <m:sty m:val="p"/>
            </m:rPr>
            <m:t>(</m:t>
          </m:r>
          <m:r>
            <m:rPr>
              <m:sty m:val="p"/>
            </m:rPr>
            <m:t>g</m:t>
          </m:r>
          <m:r>
            <m:rPr>
              <m:sty m:val="p"/>
            </m:rPr>
            <m:t>)</m:t>
          </m:r>
        </m:oMath>
      </m:oMathPara>
    </w:p>
    <w:p>
      <w:pPr>
        <w:spacing w:after="220" w:lineRule="auto"/>
      </w:pPr>
      <m:oMathPara>
        <m:oMath>
          <m:sSubSup>
            <m:sSubSupPr/>
            <m:e>
              <m:r>
                <m:rPr>
                  <m:sty m:val="p"/>
                </m:rPr>
                <m:t>Cl</m:t>
              </m:r>
            </m:e>
            <m:sub>
              <m:r>
                <m:rPr>
                  <m:sty m:val="p"/>
                </m:rPr>
                <m:t>2</m:t>
              </m:r>
            </m:sub>
            <m:sup>
              <m:r>
                <m:rPr>
                  <m:sty m:val="p"/>
                </m:rPr>
                <m:t>2</m:t>
              </m:r>
              <m:r>
                <m:rPr>
                  <m:sty m:val="p"/>
                </m:rPr>
                <m:t>+</m:t>
              </m:r>
            </m:sup>
          </m:sSubSup>
          <m:r>
            <m:rPr>
              <m:sty m:val="p"/>
            </m:rPr>
            <m:t>(</m:t>
          </m:r>
          <m:r>
            <m:rPr>
              <m:sty m:val="p"/>
            </m:rPr>
            <m:t>g</m:t>
          </m:r>
          <m:r>
            <m:rPr>
              <m:sty m:val="p"/>
            </m:rPr>
            <m:t>)</m:t>
          </m:r>
          <m:r>
            <m:rPr>
              <m:sty m:val="p"/>
            </m:rPr>
            <m:t>→</m:t>
          </m:r>
          <m:sSup>
            <m:sSupPr/>
            <m:e>
              <m:r>
                <m:rPr>
                  <m:sty m:val="p"/>
                </m:rPr>
                <m:t>Cl</m:t>
              </m:r>
            </m:e>
            <m:sup>
              <m:r>
                <m:rPr>
                  <m:sty m:val="p"/>
                </m:rPr>
                <m:t>2</m:t>
              </m:r>
              <m:r>
                <m:rPr>
                  <m:sty m:val="p"/>
                </m:rPr>
                <m:t>+</m:t>
              </m:r>
            </m:sup>
          </m:sSup>
          <m:r>
            <m:rPr>
              <m:sty m:val="p"/>
            </m:rPr>
            <m:t>(</m:t>
          </m:r>
          <m:r>
            <m:rPr>
              <m:sty m:val="p"/>
            </m:rPr>
            <m:t>g</m:t>
          </m:r>
          <m:r>
            <m:rPr>
              <m:sty m:val="p"/>
            </m:rPr>
            <m:t>)</m:t>
          </m:r>
          <m:r>
            <m:rPr>
              <m:sty m:val="p"/>
            </m:rPr>
            <m:t>+</m:t>
          </m:r>
          <m:r>
            <m:rPr>
              <m:sty m:val="p"/>
            </m:rPr>
            <m:t>Cl</m:t>
          </m:r>
          <m:r>
            <m:rPr>
              <m:sty m:val="p"/>
            </m:rPr>
            <m:t>(</m:t>
          </m:r>
          <m:r>
            <m:rPr>
              <m:nor/>
            </m:rPr>
            <m:t xml:space="preserve"> </m:t>
          </m:r>
          <m:r>
            <m:rPr>
              <m:sty m:val="p"/>
            </m:rPr>
            <m:t>g</m:t>
          </m:r>
          <m:r>
            <m:rPr>
              <m:sty m:val="p"/>
            </m:rPr>
            <m:t>)</m:t>
          </m:r>
        </m:oMath>
      </m:oMathPara>
    </w:p>
    <w:p>
      <w:pPr>
        <w:numPr>
          <w:ilvl w:val="0"/>
          <w:numId w:val="16"/>
        </w:numPr>
        <w:spacing w:lineRule="auto"/>
      </w:pPr>
      <w:r>
        <w:rPr>
          <w:rFonts w:eastAsia="Georgia" w:cs="Georgia" w:ascii="Georgia" w:hAnsi="Georgia"/>
        </w:rPr>
        <w:t xml:space="preserve">Montrer à l'aide d'un cycle thermodynamique que l'anion simplement chargé est plus stable énergétiquement que son état dissocié.</w:t>
      </w:r>
    </w:p>
    <w:p>
      <w:pPr>
        <w:spacing w:after="220" w:lineRule="auto"/>
      </w:pPr>
      <w:r>
        <w:rPr>
          <w:rFonts w:eastAsia="Georgia" w:cs="Georgia" w:ascii="Georgia" w:hAnsi="Georgia"/>
        </w:rPr>
        <w:t xml:space="preserve">On montre de même que le cation simplement chargé est plus stable énergétiquement que son état dissocié.</w:t>
      </w:r>
      <w:r>
        <w:rPr/>
        <w:br w:type="textWrapping"/>
      </w:r>
      <w:r>
        <w:rPr>
          <w:rFonts w:eastAsia="Georgia" w:cs="Georgia" w:ascii="Georgia" w:hAnsi="Georgia"/>
        </w:rPr>
        <w:t xml:space="preserve">9. Montrer à l'aide d'un cycle thermodynamique que le cation doublement chargé est moins stable énergétique- ment que l'un de ses états dissociés.</w:t>
      </w:r>
      <w:r>
        <w:rPr/>
        <w:br w:type="textWrapping"/>
      </w:r>
      <w:r>
        <w:rPr>
          <w:rFonts w:eastAsia="Georgia" w:cs="Georgia" w:ascii="Georgia" w:hAnsi="Georgia"/>
        </w:rPr>
        <w:t xml:space="preserve">Le cation doublement chargé </w:t>
      </w:r>
      <m:oMath>
        <m:sSub>
          <m:sSubPr/>
          <m:e>
            <m:r>
              <m:rPr>
                <m:sty m:val="p"/>
              </m:rPr>
              <m:t>Cl</m:t>
            </m:r>
          </m:e>
          <m:sub>
            <m:r>
              <m:rPr>
                <m:sty m:val="p"/>
              </m:rPr>
              <m:t>2</m:t>
            </m:r>
          </m:sub>
        </m:sSub>
        <m:sSup>
          <m:sSupPr/>
          <m:e>
            <m:r>
              <m:t xml:space="preserve"> </m:t>
            </m:r>
          </m:e>
          <m:sup>
            <m:r>
              <m:rPr>
                <m:sty m:val="p"/>
              </m:rPr>
              <m:t>2</m:t>
            </m:r>
            <m:r>
              <m:rPr>
                <m:sty m:val="p"/>
              </m:rPr>
              <m:t>+</m:t>
            </m:r>
          </m:sup>
        </m:sSup>
      </m:oMath>
      <w:r>
        <w:rPr>
          <w:rFonts w:eastAsia="Georgia" w:cs="Georgia" w:ascii="Georgia" w:hAnsi="Georgia"/>
        </w:rPr>
        <w:t xml:space="preserve"> est donc métastable en phase gaz puisqu'il est possible de l'observer mais qu'il se dissocie au bout d'un certain temps vers un état thermodynamiquement plus stable.</w:t>
      </w:r>
      <w:r>
        <w:rPr/>
        <w:br w:type="textWrapping"/>
      </w:r>
      <w:r>
        <w:rPr>
          <w:rFonts w:eastAsia="Georgia" w:cs="Georgia" w:ascii="Georgia" w:hAnsi="Georgia"/>
        </w:rPr>
        <w:t xml:space="preserve">10. Justifier que cette métastabilité est incohérente avec l'indice de liaison du dication et proposer une ou plusieurs raisons au fait que l'indice de liaison ne puisse expliquer la métastabilité du dication.</w:t>
      </w:r>
    </w:p>
    <w:p>
      <w:pPr>
        <w:spacing w:line="271" w:before="330" w:lineRule="auto"/>
      </w:pPr>
      <w:r>
        <w:rPr>
          <w:rFonts w:eastAsia="Georgia" w:cs="Georgia" w:ascii="Georgia" w:hAnsi="Georgia"/>
          <w:b/>
          <w:sz w:val="42"/>
        </w:rPr>
        <w:t xml:space="preserve">2 Étude de la stabilité des degrés d'oxydations du chlore en solution aqueuse.</w:t>
      </w:r>
    </w:p>
    <w:p>
      <w:pPr>
        <w:spacing w:after="220" w:lineRule="auto"/>
      </w:pPr>
      <w:r>
        <w:rPr>
          <w:rFonts w:eastAsia="Georgia" w:cs="Georgia" w:ascii="Georgia" w:hAnsi="Georgia"/>
        </w:rPr>
        <w:t xml:space="preserve">Le chlore existe sous différents degrés d'oxydation en solution aqueuse. Les différentes espèces en milieu acide sont données dans le tableau (1). Les potentiels standard des différents couples successifs sont disponibles en Annexe.</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Espèce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Formule</w:t>
            </w:r>
          </w:p>
        </w:tc>
        <w:tc>
          <w:tcPr>
            <w:tcBorders>
              <w:top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Degré d'oxydation</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Chlorure</w:t>
            </w:r>
          </w:p>
        </w:tc>
        <w:tc>
          <w:tcPr>
            <w:tcBorders>
              <w:bottom w:val="single" w:sz="8" w:space="0" w:color="000000"/>
              <w:right w:val="single" w:sz="8" w:space="0" w:color="000000"/>
            </w:tcBorders>
            <w:vAlign w:val="center"/>
          </w:tcPr>
          <w:p>
            <w:pPr>
              <w:spacing w:lineRule="auto"/>
              <w:jc w:val="center"/>
            </w:pPr>
            <m:oMathPara>
              <m:oMathParaPr>
                <m:jc m:val="center"/>
              </m:oMathParaPr>
              <m:oMath>
                <m:sSup>
                  <m:sSupPr/>
                  <m:e>
                    <m:r>
                      <m:rPr>
                        <m:sty m:val="p"/>
                      </m:rPr>
                      <m:t>Cl</m:t>
                    </m:r>
                  </m:e>
                  <m:sup>
                    <m:r>
                      <m:rPr>
                        <m:sty m:val="p"/>
                      </m:rPr>
                      <m:t>−</m:t>
                    </m:r>
                  </m:sup>
                </m:sSup>
              </m:oMath>
            </m:oMathPara>
          </w:p>
        </w:tc>
        <w:tc>
          <w:tcPr>
            <w:tcBorders>
              <w:bottom w:val="single" w:sz="8" w:space="0" w:color="000000"/>
              <w:right w:val="single" w:sz="8" w:space="0" w:color="000000"/>
            </w:tcBorders>
            <w:vAlign w:val="center"/>
          </w:tcPr>
          <w:p>
            <w:pPr>
              <w:spacing w:lineRule="auto"/>
              <w:jc w:val="center"/>
            </w:pPr>
            <w:r>
              <w:rPr/>
              <w:t xml:space="preserve">-I</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Dichlore</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Cl</m:t>
                    </m:r>
                  </m:e>
                  <m:sub>
                    <m:r>
                      <m:rPr>
                        <m:sty m:val="p"/>
                      </m:rPr>
                      <m:t>2</m:t>
                    </m:r>
                  </m:sub>
                </m:sSub>
              </m:oMath>
            </m:oMathPara>
          </w:p>
        </w:tc>
        <w:tc>
          <w:tcPr>
            <w:tcBorders>
              <w:bottom w:val="single" w:sz="8" w:space="0" w:color="000000"/>
              <w:right w:val="single" w:sz="8" w:space="0" w:color="000000"/>
            </w:tcBorders>
            <w:vAlign w:val="center"/>
          </w:tcPr>
          <w:p>
            <w:pPr>
              <w:spacing w:lineRule="auto"/>
              <w:jc w:val="center"/>
            </w:pPr>
            <w:r>
              <w:rPr/>
              <w:t xml:space="preserve">0</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Acide hypochloreux</w:t>
            </w:r>
          </w:p>
        </w:tc>
        <w:tc>
          <w:tcPr>
            <w:tcBorders>
              <w:bottom w:val="single" w:sz="8" w:space="0" w:color="000000"/>
              <w:right w:val="single" w:sz="8" w:space="0" w:color="000000"/>
            </w:tcBorders>
            <w:vAlign w:val="center"/>
          </w:tcPr>
          <w:p>
            <w:pPr>
              <w:spacing w:lineRule="auto"/>
              <w:jc w:val="center"/>
            </w:pPr>
            <w:r>
              <w:rPr/>
              <w:t xml:space="preserve">HClO</w:t>
            </w:r>
          </w:p>
        </w:tc>
        <w:tc>
          <w:tcPr>
            <w:tcBorders>
              <w:bottom w:val="single" w:sz="8" w:space="0" w:color="000000"/>
              <w:right w:val="single" w:sz="8" w:space="0" w:color="000000"/>
            </w:tcBorders>
            <w:vAlign w:val="center"/>
          </w:tcPr>
          <w:p>
            <w:pPr>
              <w:spacing w:lineRule="auto"/>
              <w:jc w:val="center"/>
            </w:pPr>
            <w:r>
              <w:rPr/>
              <w:t xml:space="preserve">+I</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Acide chloreux</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HClO</m:t>
                    </m:r>
                  </m:e>
                  <m:sub>
                    <m:r>
                      <m:rPr>
                        <m:sty m:val="p"/>
                      </m:rPr>
                      <m:t>2</m:t>
                    </m:r>
                  </m:sub>
                </m:sSub>
              </m:oMath>
            </m:oMathPara>
          </w:p>
        </w:tc>
        <w:tc>
          <w:tcPr>
            <w:tcBorders>
              <w:bottom w:val="single" w:sz="8" w:space="0" w:color="000000"/>
              <w:right w:val="single" w:sz="8" w:space="0" w:color="000000"/>
            </w:tcBorders>
            <w:vAlign w:val="center"/>
          </w:tcPr>
          <w:p>
            <w:pPr>
              <w:spacing w:lineRule="auto"/>
              <w:jc w:val="center"/>
            </w:pPr>
            <w:r>
              <w:rPr/>
              <w:t xml:space="preserve">+III</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Dioxyde de chlore</w:t>
            </w:r>
          </w:p>
        </w:tc>
        <w:tc>
          <w:tcPr>
            <w:tcBorders>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ClO</m:t>
                    </m:r>
                  </m:e>
                  <m:sub>
                    <m:r>
                      <m:rPr>
                        <m:sty m:val="p"/>
                      </m:rPr>
                      <m:t>2</m:t>
                    </m:r>
                  </m:sub>
                </m:sSub>
              </m:oMath>
            </m:oMathPara>
          </w:p>
        </w:tc>
        <w:tc>
          <w:tcPr>
            <w:tcBorders>
              <w:bottom w:val="single" w:sz="8" w:space="0" w:color="000000"/>
              <w:right w:val="single" w:sz="8" w:space="0" w:color="000000"/>
            </w:tcBorders>
            <w:vAlign w:val="center"/>
          </w:tcPr>
          <w:p>
            <w:pPr>
              <w:spacing w:lineRule="auto"/>
              <w:jc w:val="center"/>
            </w:pPr>
            <w:r>
              <w:rPr/>
              <w:t xml:space="preserve">+IV</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Chlorate</w:t>
            </w:r>
          </w:p>
        </w:tc>
        <w:tc>
          <w:tcPr>
            <w:tcBorders>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ClO</m:t>
                    </m:r>
                  </m:e>
                  <m:sub>
                    <m:r>
                      <m:rPr>
                        <m:sty m:val="p"/>
                      </m:rPr>
                      <m:t>3</m:t>
                    </m:r>
                  </m:sub>
                  <m:sup>
                    <m:r>
                      <m:rPr>
                        <m:sty m:val="p"/>
                      </m:rPr>
                      <m:t>−</m:t>
                    </m:r>
                  </m:sup>
                </m:sSubSup>
              </m:oMath>
            </m:oMathPara>
          </w:p>
        </w:tc>
        <w:tc>
          <w:tcPr>
            <w:tcBorders>
              <w:bottom w:val="single" w:sz="8" w:space="0" w:color="000000"/>
              <w:right w:val="single" w:sz="8" w:space="0" w:color="000000"/>
            </w:tcBorders>
            <w:vAlign w:val="center"/>
          </w:tcPr>
          <w:p>
            <w:pPr>
              <w:spacing w:lineRule="auto"/>
              <w:jc w:val="center"/>
            </w:pPr>
            <w:r>
              <w:rPr/>
              <w:t xml:space="preserve">+V</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w:r>
              <w:rPr/>
              <w:t xml:space="preserve">Perchlorate</w:t>
            </w:r>
          </w:p>
        </w:tc>
        <w:tc>
          <w:tcPr>
            <w:tcBorders>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ClO</m:t>
                    </m:r>
                  </m:e>
                  <m:sub>
                    <m:r>
                      <m:rPr>
                        <m:sty m:val="p"/>
                      </m:rPr>
                      <m:t>4</m:t>
                    </m:r>
                  </m:sub>
                  <m:sup>
                    <m:r>
                      <m:rPr>
                        <m:sty m:val="p"/>
                      </m:rPr>
                      <m:t>−</m:t>
                    </m:r>
                  </m:sup>
                </m:sSubSup>
              </m:oMath>
            </m:oMathPara>
          </w:p>
        </w:tc>
        <w:tc>
          <w:tcPr>
            <w:tcBorders>
              <w:bottom w:val="single" w:sz="8" w:space="0" w:color="000000"/>
              <w:right w:val="single" w:sz="8" w:space="0" w:color="000000"/>
            </w:tcBorders>
            <w:vAlign w:val="center"/>
          </w:tcPr>
          <w:p>
            <w:pPr>
              <w:spacing w:lineRule="auto"/>
              <w:jc w:val="center"/>
            </w:pPr>
            <w:r>
              <w:rPr/>
              <w:t xml:space="preserve">+VII</w:t>
            </w:r>
          </w:p>
        </w:tc>
      </w:tr>
    </w:tbl>
    <w:p>
      <w:pPr>
        <w:spacing w:lineRule="auto"/>
      </w:pPr>
    </w:p>
    <w:p>
      <w:pPr>
        <w:spacing w:lineRule="auto"/>
      </w:pPr>
      <w:r>
        <w:rPr>
          <w:rFonts w:eastAsia="Georgia" w:cs="Georgia" w:ascii="Georgia" w:hAnsi="Georgia"/>
        </w:rPr>
        <w:t xml:space="preserve">TABLEAU 1 - Tableau des différentes espèces du chlore en milieu acide.</w:t>
      </w:r>
    </w:p>
    <w:p>
      <w:pPr>
        <w:spacing w:after="220" w:lineRule="auto"/>
      </w:pPr>
      <w:r>
        <w:rPr/>
        <w:t xml:space="preserve">Dans toute la suite, on notera </w:t>
      </w:r>
      <m:oMath>
        <m:sSup>
          <m:sSupPr/>
          <m:e>
            <m:r>
              <m:rPr>
                <m:sty m:val="i"/>
              </m:rPr>
              <m:t>E</m:t>
            </m:r>
          </m:e>
          <m:sup>
            <m:r>
              <m:rPr>
                <m:sty m:val="p"/>
              </m:rPr>
              <m:t>∘</m:t>
            </m:r>
          </m:sup>
        </m:sSup>
        <m:r>
          <m:rPr>
            <m:sty m:val="p"/>
          </m:rPr>
          <m:t>(</m:t>
        </m:r>
        <m:r>
          <m:rPr>
            <m:sty m:val="i"/>
          </m:rPr>
          <m:t>N</m:t>
        </m:r>
        <m:r>
          <m:rPr>
            <m:sty m:val="p"/>
          </m:rPr>
          <m:t>,</m:t>
        </m:r>
        <m:r>
          <m:rPr>
            <m:sty m:val="i"/>
          </m:rPr>
          <m:t>M</m:t>
        </m:r>
        <m:r>
          <m:rPr>
            <m:sty m:val="p"/>
          </m:rPr>
          <m:t>)</m:t>
        </m:r>
      </m:oMath>
      <w:r>
        <w:rPr>
          <w:rFonts w:eastAsia="Georgia" w:cs="Georgia" w:ascii="Georgia" w:hAnsi="Georgia"/>
        </w:rPr>
        <w:t xml:space="preserve"> le potentiel standard du couple associé aux espèces du chlore aux degrés d'oxydation </w:t>
      </w:r>
      <m:oMath>
        <m:r>
          <m:rPr>
            <m:sty m:val="i"/>
          </m:rPr>
          <m:t>N</m:t>
        </m:r>
      </m:oMath>
      <w:r>
        <w:rPr/>
        <w:t xml:space="preserve"> et </w:t>
      </w:r>
      <m:oMath>
        <m:r>
          <m:rPr>
            <m:sty m:val="i"/>
          </m:rPr>
          <m:t>M</m:t>
        </m:r>
        <m:r>
          <m:rPr>
            <m:sty m:val="p"/>
          </m:rPr>
          <m:t>:</m:t>
        </m:r>
        <m:sSup>
          <m:sSupPr/>
          <m:e>
            <m:r>
              <m:rPr>
                <m:sty m:val="p"/>
              </m:rPr>
              <m:t>Cl</m:t>
            </m:r>
          </m:e>
          <m:sup>
            <m:r>
              <m:rPr>
                <m:sty m:val="p"/>
              </m:rPr>
              <m:t>(</m:t>
            </m:r>
            <m:r>
              <m:rPr>
                <m:sty m:val="i"/>
              </m:rPr>
              <m:t>N</m:t>
            </m:r>
            <m:r>
              <m:rPr>
                <m:sty m:val="p"/>
              </m:rPr>
              <m:t>)</m:t>
            </m:r>
          </m:sup>
        </m:sSup>
        <m:r>
          <m:rPr>
            <m:sty m:val="p"/>
          </m:rPr>
          <m:t>/</m:t>
        </m:r>
        <m:sSup>
          <m:sSupPr/>
          <m:e>
            <m:r>
              <m:rPr>
                <m:sty m:val="p"/>
              </m:rPr>
              <m:t>Cl</m:t>
            </m:r>
          </m:e>
          <m:sup>
            <m:r>
              <m:rPr>
                <m:sty m:val="p"/>
              </m:rPr>
              <m:t>(</m:t>
            </m:r>
            <m:r>
              <m:rPr>
                <m:sty m:val="i"/>
              </m:rPr>
              <m:t>M</m:t>
            </m:r>
            <m:r>
              <m:rPr>
                <m:sty m:val="p"/>
              </m:rPr>
              <m:t>)</m:t>
            </m:r>
          </m:sup>
        </m:sSup>
      </m:oMath>
      <w:r>
        <w:rPr/>
        <w:t xml:space="preserve"> lorsque </w:t>
      </w:r>
      <m:oMath>
        <m:r>
          <m:rPr>
            <m:sty m:val="i"/>
          </m:rPr>
          <m:t>N</m:t>
        </m:r>
        <m:r>
          <m:rPr>
            <m:sty m:val="p"/>
          </m:rPr>
          <m:t>&gt;</m:t>
        </m:r>
        <m:r>
          <m:rPr>
            <m:sty m:val="i"/>
          </m:rPr>
          <m:t>M</m:t>
        </m:r>
      </m:oMath>
      <w:r>
        <w:rPr/>
        <w:t xml:space="preserve"> et </w:t>
      </w:r>
      <m:oMath>
        <m:sSup>
          <m:sSupPr/>
          <m:e>
            <m:r>
              <m:rPr>
                <m:sty m:val="p"/>
              </m:rPr>
              <m:t>Cl</m:t>
            </m:r>
          </m:e>
          <m:sup>
            <m:r>
              <m:rPr>
                <m:sty m:val="p"/>
              </m:rPr>
              <m:t>(</m:t>
            </m:r>
            <m:r>
              <m:rPr>
                <m:sty m:val="i"/>
              </m:rPr>
              <m:t>M</m:t>
            </m:r>
            <m:r>
              <m:rPr>
                <m:sty m:val="p"/>
              </m:rPr>
              <m:t>)</m:t>
            </m:r>
          </m:sup>
        </m:sSup>
        <m:r>
          <m:rPr>
            <m:sty m:val="p"/>
          </m:rPr>
          <m:t>/</m:t>
        </m:r>
        <m:sSup>
          <m:sSupPr/>
          <m:e>
            <m:r>
              <m:rPr>
                <m:sty m:val="p"/>
              </m:rPr>
              <m:t>Cl</m:t>
            </m:r>
          </m:e>
          <m:sup>
            <m:r>
              <m:rPr>
                <m:sty m:val="p"/>
              </m:rPr>
              <m:t>(</m:t>
            </m:r>
            <m:r>
              <m:rPr>
                <m:sty m:val="i"/>
              </m:rPr>
              <m:t>N</m:t>
            </m:r>
            <m:r>
              <m:rPr>
                <m:sty m:val="p"/>
              </m:rPr>
              <m:t>)</m:t>
            </m:r>
          </m:sup>
        </m:sSup>
      </m:oMath>
      <w:r>
        <w:rPr/>
        <w:t xml:space="preserve"> lorsque </w:t>
      </w:r>
      <m:oMath>
        <m:r>
          <m:rPr>
            <m:sty m:val="i"/>
          </m:rPr>
          <m:t>N</m:t>
        </m:r>
        <m:r>
          <m:rPr>
            <m:sty m:val="p"/>
          </m:rPr>
          <m:t>&lt;</m:t>
        </m:r>
        <m:r>
          <m:rPr>
            <m:sty m:val="i"/>
          </m:rPr>
          <m:t>M</m:t>
        </m:r>
      </m:oMath>
      <w:r>
        <w:rPr/>
        <w:t xml:space="preserve">.</w:t>
      </w:r>
      <w:r>
        <w:rPr/>
        <w:br w:type="textWrapping"/>
      </w:r>
      <w:r>
        <w:rPr>
          <w:rFonts w:eastAsia="Georgia" w:cs="Georgia" w:ascii="Georgia" w:hAnsi="Georgia"/>
        </w:rPr>
        <w:t xml:space="preserve">11. Donner l'équation de dismutation des ions chlorate en ions perchlorate et chlorure.</w:t>
      </w:r>
      <w:r>
        <w:rPr/>
        <w:br w:type="textWrapping"/>
      </w:r>
      <w:r>
        <w:rPr>
          <w:rFonts w:eastAsia="Georgia" w:cs="Georgia" w:ascii="Georgia" w:hAnsi="Georgia"/>
        </w:rPr>
        <w:t xml:space="preserve">12. Calculer la constante d'équilibre de cette réaction et en déduire que les ions chlorate sont métastables en milieu aqueux.</w:t>
      </w:r>
    </w:p>
    <w:p>
      <w:pPr>
        <w:spacing w:after="220" w:lineRule="auto"/>
      </w:pPr>
      <w:r>
        <w:rPr>
          <w:rFonts w:eastAsia="Georgia" w:cs="Georgia" w:ascii="Georgia" w:hAnsi="Georgia"/>
        </w:rPr>
        <w:t xml:space="preserve">Pour étudier la stabilité des différents ions en solution, il faudrait déterminer toutes les équations de dismutation possibles puis calculer leurs constantes d'équilibre. Pour éviter ce travail fastidieux, il est préférable d'adopter une approche graphique grâce à un diagramme de Frost-Ebsworth. Ce type de diagramme permet de résumer la totalité des propriétés oxydo-réductrices d'un point de vue thermodynamique. Ce diagramme représente le produit </w:t>
      </w:r>
      <m:oMath>
        <m:r>
          <m:rPr>
            <m:sty m:val="i"/>
          </m:rPr>
          <m:t>N</m:t>
        </m:r>
        <m:sSup>
          <m:sSupPr/>
          <m:e>
            <m:r>
              <m:rPr>
                <m:sty m:val="i"/>
              </m:rPr>
              <m:t>E</m:t>
            </m:r>
          </m:e>
          <m:sup>
            <m:r>
              <m:rPr>
                <m:sty m:val="p"/>
              </m:rPr>
              <m:t>∘</m:t>
            </m:r>
          </m:sup>
        </m:sSup>
        <m:r>
          <m:rPr>
            <m:sty m:val="p"/>
          </m:rPr>
          <m:t>(</m:t>
        </m:r>
        <m:r>
          <m:rPr>
            <m:sty m:val="i"/>
          </m:rPr>
          <m:t>N</m:t>
        </m:r>
        <m:r>
          <m:rPr>
            <m:sty m:val="p"/>
          </m:rPr>
          <m:t>,</m:t>
        </m:r>
        <m:r>
          <m:rPr>
            <m:sty m:val="p"/>
          </m:rPr>
          <m:t>0</m:t>
        </m:r>
        <m:r>
          <m:rPr>
            <m:sty m:val="p"/>
          </m:rPr>
          <m:t>)</m:t>
        </m:r>
      </m:oMath>
      <w:r>
        <w:rPr>
          <w:rFonts w:eastAsia="Georgia" w:cs="Georgia" w:ascii="Georgia" w:hAnsi="Georgia"/>
        </w:rPr>
        <w:t xml:space="preserve"> exprimé en volt (V) en fonction du degré d'oxydation </w:t>
      </w:r>
      <m:oMath>
        <m:r>
          <m:rPr>
            <m:sty m:val="i"/>
          </m:rPr>
          <m:t>N</m:t>
        </m:r>
      </m:oMath>
      <w:r>
        <w:rPr/>
        <w:t xml:space="preserve">.</w:t>
      </w:r>
      <w:r>
        <w:rPr/>
        <w:br w:type="textWrapping"/>
      </w:r>
      <w:r>
        <w:rPr/>
        <w:t xml:space="preserve">13. Exprimer le potentiel standard </w:t>
      </w:r>
      <m:oMath>
        <m:sSup>
          <m:sSupPr/>
          <m:e>
            <m:r>
              <m:rPr>
                <m:sty m:val="i"/>
              </m:rPr>
              <m:t>E</m:t>
            </m:r>
          </m:e>
          <m:sup>
            <m:r>
              <m:rPr>
                <m:sty m:val="p"/>
              </m:rPr>
              <m:t>∘</m:t>
            </m:r>
          </m:sup>
        </m:sSup>
        <m:r>
          <m:rPr>
            <m:sty m:val="p"/>
          </m:rPr>
          <m:t>(</m:t>
        </m:r>
        <m:r>
          <m:rPr>
            <m:sty m:val="i"/>
          </m:rPr>
          <m:t>N</m:t>
        </m:r>
        <m:r>
          <m:rPr>
            <m:sty m:val="p"/>
          </m:rPr>
          <m:t>,</m:t>
        </m:r>
        <m:r>
          <m:rPr>
            <m:sty m:val="i"/>
          </m:rPr>
          <m:t>M</m:t>
        </m:r>
        <m:r>
          <m:rPr>
            <m:sty m:val="p"/>
          </m:rPr>
          <m:t>)</m:t>
        </m:r>
      </m:oMath>
      <w:r>
        <w:rPr/>
        <w:t xml:space="preserve"> en fonction de </w:t>
      </w:r>
      <m:oMath>
        <m:r>
          <m:rPr>
            <m:sty m:val="i"/>
          </m:rPr>
          <m:t>N</m:t>
        </m:r>
        <m:r>
          <m:rPr>
            <m:sty m:val="p"/>
          </m:rPr>
          <m:t>,</m:t>
        </m:r>
        <m:r>
          <m:rPr>
            <m:sty m:val="i"/>
          </m:rPr>
          <m:t>M</m:t>
        </m:r>
        <m:r>
          <m:rPr>
            <m:sty m:val="p"/>
          </m:rPr>
          <m:t>,</m:t>
        </m:r>
        <m:sSup>
          <m:sSupPr/>
          <m:e>
            <m:r>
              <m:rPr>
                <m:sty m:val="i"/>
              </m:rPr>
              <m:t>E</m:t>
            </m:r>
          </m:e>
          <m:sup>
            <m:r>
              <m:rPr>
                <m:sty m:val="p"/>
              </m:rPr>
              <m:t>∘</m:t>
            </m:r>
          </m:sup>
        </m:sSup>
        <m:r>
          <m:rPr>
            <m:sty m:val="p"/>
          </m:rPr>
          <m:t>(</m:t>
        </m:r>
        <m:r>
          <m:rPr>
            <m:sty m:val="i"/>
          </m:rPr>
          <m:t>N</m:t>
        </m:r>
        <m:r>
          <m:rPr>
            <m:sty m:val="p"/>
          </m:rPr>
          <m:t>,</m:t>
        </m:r>
        <m:r>
          <m:rPr>
            <m:sty m:val="p"/>
          </m:rPr>
          <m:t>0</m:t>
        </m:r>
        <m:r>
          <m:rPr>
            <m:sty m:val="p"/>
          </m:rPr>
          <m:t>)</m:t>
        </m:r>
      </m:oMath>
      <w:r>
        <w:rPr/>
        <w:t xml:space="preserve"> et </w:t>
      </w:r>
      <m:oMath>
        <m:sSup>
          <m:sSupPr/>
          <m:e>
            <m:r>
              <m:rPr>
                <m:sty m:val="i"/>
              </m:rPr>
              <m:t>E</m:t>
            </m:r>
          </m:e>
          <m:sup>
            <m:r>
              <m:rPr>
                <m:sty m:val="p"/>
              </m:rPr>
              <m:t>∘</m:t>
            </m:r>
          </m:sup>
        </m:sSup>
        <m:r>
          <m:rPr>
            <m:sty m:val="p"/>
          </m:rPr>
          <m:t>(</m:t>
        </m:r>
        <m:r>
          <m:rPr>
            <m:sty m:val="i"/>
          </m:rPr>
          <m:t>M</m:t>
        </m:r>
        <m:r>
          <m:rPr>
            <m:sty m:val="p"/>
          </m:rPr>
          <m:t>,</m:t>
        </m:r>
        <m:r>
          <m:rPr>
            <m:sty m:val="p"/>
          </m:rPr>
          <m:t>0</m:t>
        </m:r>
        <m:r>
          <m:rPr>
            <m:sty m:val="p"/>
          </m:rPr>
          <m:t>)</m:t>
        </m:r>
      </m:oMath>
      <w:r>
        <w:rPr>
          <w:rFonts w:eastAsia="Georgia" w:cs="Georgia" w:ascii="Georgia" w:hAnsi="Georgia"/>
        </w:rPr>
        <w:t xml:space="preserve">. En déduire que le potentiel standard d'un couple est la pente du segment reliant les points des deux espèces du diagramme de FrostEbsworth.</w:t>
      </w:r>
      <w:r>
        <w:rPr/>
        <w:br w:type="textWrapping"/>
      </w:r>
      <w:r>
        <w:rPr>
          <w:rFonts w:eastAsia="Georgia" w:cs="Georgia" w:ascii="Georgia" w:hAnsi="Georgia"/>
        </w:rPr>
        <w:t xml:space="preserve">14. En déduire une méthode pour construire le diagramme de Frost-Ebsworth à partir des données disponibles en Annexe.</w:t>
      </w:r>
    </w:p>
    <w:p>
      <w:pPr>
        <w:spacing w:lineRule="auto"/>
        <w:jc w:val="center"/>
      </w:pPr>
      <w:r>
        <w:rPr/>
        <w:drawing>
          <wp:inline distB="0" distL="0" distR="0" distT="0">
            <wp:extent cx="5486400" cy="4282610"/>
            <wp:effectExtent b="0" l="0" r="0" t="0"/>
            <wp:docPr id="6" name="image-6865c742c1e462619c2956233f51645698e5e1ae.jpg"/>
            <a:graphic>
              <a:graphicData uri="http://schemas.openxmlformats.org/drawingml/2006/picture">
                <pic:pic>
                  <pic:nvPicPr>
                    <pic:cNvPr id="6" name="image-6865c742c1e462619c2956233f51645698e5e1ae.jpg" descr=""/>
                    <pic:cNvPicPr/>
                  </pic:nvPicPr>
                  <pic:blipFill>
                    <a:blip r:embed="rId10" cstate="print"/>
                    <a:srcRect b="0" l="0" r="0" t="0"/>
                    <a:stretch>
                      <a:fillRect/>
                    </a:stretch>
                  </pic:blipFill>
                  <pic:spPr>
                    <a:xfrm>
                      <a:off x="0" y="0"/>
                      <a:ext cx="5486400" cy="4282610"/>
                    </a:xfrm>
                    <a:prstGeom prst="rect"/>
                  </pic:spPr>
                </pic:pic>
              </a:graphicData>
            </a:graphic>
          </wp:inline>
        </w:drawing>
      </w:r>
    </w:p>
    <w:p>
      <w:pPr>
        <w:spacing w:lineRule="auto"/>
      </w:pPr>
      <w:r>
        <w:rPr>
          <w:rFonts w:eastAsia="Georgia" w:cs="Georgia" w:ascii="Georgia" w:hAnsi="Georgia"/>
        </w:rPr>
        <w:t xml:space="preserve">Figure 1 - Diagramme de Frost-Ebsworth du chlore à </w:t>
      </w:r>
      <m:oMath>
        <m:r>
          <m:rPr>
            <m:sty m:val="p"/>
          </m:rPr>
          <m:t>pH</m:t>
        </m:r>
        <m:r>
          <m:rPr>
            <m:sty m:val="p"/>
          </m:rPr>
          <m:t>=</m:t>
        </m:r>
        <m:r>
          <m:rPr>
            <m:sty m:val="p"/>
          </m:rPr>
          <m:t>0</m:t>
        </m:r>
      </m:oMath>
      <w:r>
        <w:rPr/>
        <w:t xml:space="preserve">.</w:t>
      </w:r>
    </w:p>
    <w:p>
      <w:pPr>
        <w:spacing w:after="220" w:lineRule="auto"/>
      </w:pPr>
      <w:r>
        <w:rPr>
          <w:rFonts w:eastAsia="Georgia" w:cs="Georgia" w:ascii="Georgia" w:hAnsi="Georgia"/>
        </w:rPr>
        <w:t xml:space="preserve">Le diagramme de Frost-Ebsworth du chlore à </w:t>
      </w:r>
      <m:oMath>
        <m:r>
          <m:rPr>
            <m:sty m:val="p"/>
          </m:rPr>
          <m:t>pH</m:t>
        </m:r>
        <m:r>
          <m:rPr>
            <m:sty m:val="p"/>
          </m:rPr>
          <m:t>=</m:t>
        </m:r>
        <m:r>
          <m:rPr>
            <m:sty m:val="p"/>
          </m:rPr>
          <m:t>0</m:t>
        </m:r>
      </m:oMath>
      <w:r>
        <w:rPr>
          <w:rFonts w:eastAsia="Georgia" w:cs="Georgia" w:ascii="Georgia" w:hAnsi="Georgia"/>
        </w:rPr>
        <w:t xml:space="preserve"> alors obtenu est donné sur la figure (1).</w:t>
      </w:r>
      <w:r>
        <w:rPr/>
        <w:br w:type="textWrapping"/>
      </w:r>
      <w:r>
        <w:rPr/>
        <w:t xml:space="preserve">Soit </w:t>
      </w:r>
      <m:oMath>
        <m:r>
          <m:rPr>
            <m:sty m:val="i"/>
          </m:rPr>
          <m:t>i</m:t>
        </m:r>
        <m:r>
          <m:rPr>
            <m:sty m:val="p"/>
          </m:rPr>
          <m:t>&lt;</m:t>
        </m:r>
        <m:r>
          <m:rPr>
            <m:sty m:val="i"/>
          </m:rPr>
          <m:t>j</m:t>
        </m:r>
        <m:r>
          <m:rPr>
            <m:sty m:val="p"/>
          </m:rPr>
          <m:t>&lt;</m:t>
        </m:r>
        <m:r>
          <m:rPr>
            <m:sty m:val="i"/>
          </m:rPr>
          <m:t>k</m:t>
        </m:r>
      </m:oMath>
      <w:r>
        <w:rPr>
          <w:rFonts w:eastAsia="Georgia" w:cs="Georgia" w:ascii="Georgia" w:hAnsi="Georgia"/>
        </w:rPr>
        <w:t xml:space="preserve"> trois degrés d'oxydation du chlore. L'équation de dismutation s'écrit alors :</w:t>
      </w:r>
    </w:p>
    <w:p>
      <w:pPr>
        <w:spacing w:after="220" w:lineRule="auto"/>
      </w:pPr>
      <m:oMathPara>
        <m:oMath>
          <m:r>
            <m:rPr>
              <m:sty m:val="p"/>
            </m:rPr>
            <m:t>(</m:t>
          </m:r>
          <m:r>
            <m:rPr>
              <m:sty m:val="i"/>
            </m:rPr>
            <m:t>k</m:t>
          </m:r>
          <m:r>
            <m:rPr>
              <m:sty m:val="p"/>
            </m:rPr>
            <m:t>−</m:t>
          </m:r>
          <m:r>
            <m:rPr>
              <m:sty m:val="i"/>
            </m:rPr>
            <m:t>i</m:t>
          </m:r>
          <m:r>
            <m:rPr>
              <m:sty m:val="p"/>
            </m:rPr>
            <m:t>)</m:t>
          </m:r>
          <m:sSup>
            <m:sSupPr/>
            <m:e>
              <m:r>
                <m:rPr>
                  <m:sty m:val="p"/>
                </m:rPr>
                <m:t>Cl</m:t>
              </m:r>
            </m:e>
            <m:sup>
              <m:r>
                <m:rPr>
                  <m:sty m:val="p"/>
                </m:rPr>
                <m:t>(</m:t>
              </m:r>
              <m:r>
                <m:rPr>
                  <m:sty m:val="i"/>
                </m:rPr>
                <m:t>j</m:t>
              </m:r>
              <m:r>
                <m:rPr>
                  <m:sty m:val="p"/>
                </m:rPr>
                <m:t>)</m:t>
              </m:r>
            </m:sup>
          </m:sSup>
          <m:r>
            <m:rPr>
              <m:sty m:val="p"/>
            </m:rPr>
            <m:t>→</m:t>
          </m:r>
          <m:r>
            <m:rPr>
              <m:sty m:val="p"/>
            </m:rPr>
            <m:t>(</m:t>
          </m:r>
          <m:r>
            <m:rPr>
              <m:sty m:val="i"/>
            </m:rPr>
            <m:t>k</m:t>
          </m:r>
          <m:r>
            <m:rPr>
              <m:sty m:val="p"/>
            </m:rPr>
            <m:t>−</m:t>
          </m:r>
          <m:r>
            <m:rPr>
              <m:sty m:val="i"/>
            </m:rPr>
            <m:t>j</m:t>
          </m:r>
          <m:r>
            <m:rPr>
              <m:sty m:val="p"/>
            </m:rPr>
            <m:t>)</m:t>
          </m:r>
          <m:sSup>
            <m:sSupPr/>
            <m:e>
              <m:r>
                <m:rPr>
                  <m:sty m:val="p"/>
                </m:rPr>
                <m:t>Cl</m:t>
              </m:r>
            </m:e>
            <m:sup>
              <m:r>
                <m:rPr>
                  <m:sty m:val="p"/>
                </m:rPr>
                <m:t>(</m:t>
              </m:r>
              <m:r>
                <m:rPr>
                  <m:sty m:val="i"/>
                </m:rPr>
                <m:t>i</m:t>
              </m:r>
              <m:r>
                <m:rPr>
                  <m:sty m:val="p"/>
                </m:rPr>
                <m:t>)</m:t>
              </m:r>
            </m:sup>
          </m:sSup>
          <m:r>
            <m:rPr>
              <m:sty m:val="p"/>
            </m:rPr>
            <m:t>+</m:t>
          </m:r>
          <m:r>
            <m:rPr>
              <m:sty m:val="p"/>
            </m:rPr>
            <m:t>(</m:t>
          </m:r>
          <m:r>
            <m:rPr>
              <m:sty m:val="i"/>
            </m:rPr>
            <m:t>j</m:t>
          </m:r>
          <m:r>
            <m:rPr>
              <m:sty m:val="p"/>
            </m:rPr>
            <m:t>−</m:t>
          </m:r>
          <m:r>
            <m:rPr>
              <m:sty m:val="i"/>
            </m:rPr>
            <m:t>i</m:t>
          </m:r>
          <m:r>
            <m:rPr>
              <m:sty m:val="p"/>
            </m:rPr>
            <m:t>)</m:t>
          </m:r>
          <m:sSup>
            <m:sSupPr/>
            <m:e>
              <m:r>
                <m:rPr>
                  <m:sty m:val="p"/>
                </m:rPr>
                <m:t>Cl</m:t>
              </m:r>
            </m:e>
            <m:sup>
              <m:r>
                <m:rPr>
                  <m:sty m:val="p"/>
                </m:rPr>
                <m:t>(</m:t>
              </m:r>
              <m:r>
                <m:rPr>
                  <m:sty m:val="i"/>
                </m:rPr>
                <m:t>k</m:t>
              </m:r>
              <m:r>
                <m:rPr>
                  <m:sty m:val="p"/>
                </m:rPr>
                <m:t>)</m:t>
              </m:r>
            </m:sup>
          </m:sSup>
        </m:oMath>
      </m:oMathPara>
    </w:p>
    <w:p>
      <w:pPr>
        <w:numPr>
          <w:ilvl w:val="0"/>
          <w:numId w:val="17"/>
        </w:numPr>
        <w:spacing w:lineRule="auto"/>
      </w:pPr>
      <w:r>
        <w:rPr>
          <w:rFonts w:eastAsia="Georgia" w:cs="Georgia" w:ascii="Georgia" w:hAnsi="Georgia"/>
        </w:rPr>
        <w:t xml:space="preserve">Exprimer l'enthalpie libre de réaction de dismutation en fonction des potentiels standard </w:t>
      </w:r>
      <m:oMath>
        <m:sSup>
          <m:sSupPr/>
          <m:e>
            <m:r>
              <m:rPr>
                <m:sty m:val="i"/>
              </m:rPr>
              <m:t>E</m:t>
            </m:r>
          </m:e>
          <m:sup>
            <m:r>
              <m:rPr>
                <m:sty m:val="p"/>
              </m:rPr>
              <m:t>∘</m:t>
            </m:r>
          </m:sup>
        </m:sSup>
        <m:r>
          <m:rPr>
            <m:sty m:val="p"/>
          </m:rPr>
          <m:t>(</m:t>
        </m:r>
        <m:r>
          <m:rPr>
            <m:sty m:val="i"/>
          </m:rPr>
          <m:t>i</m:t>
        </m:r>
        <m:r>
          <m:rPr>
            <m:sty m:val="p"/>
          </m:rPr>
          <m:t>,</m:t>
        </m:r>
        <m:r>
          <m:rPr>
            <m:sty m:val="i"/>
          </m:rPr>
          <m:t>j</m:t>
        </m:r>
        <m:r>
          <m:rPr>
            <m:sty m:val="p"/>
          </m:rPr>
          <m:t>)</m:t>
        </m:r>
      </m:oMath>
      <w:r>
        <w:rPr/>
        <w:t xml:space="preserve"> et </w:t>
      </w:r>
      <m:oMath>
        <m:sSup>
          <m:sSupPr/>
          <m:e>
            <m:r>
              <m:rPr>
                <m:sty m:val="i"/>
              </m:rPr>
              <m:t>E</m:t>
            </m:r>
          </m:e>
          <m:sup>
            <m:r>
              <m:rPr>
                <m:sty m:val="p"/>
              </m:rPr>
              <m:t>∘</m:t>
            </m:r>
          </m:sup>
        </m:sSup>
        <m:r>
          <m:rPr>
            <m:sty m:val="p"/>
          </m:rPr>
          <m:t>(</m:t>
        </m:r>
        <m:r>
          <m:rPr>
            <m:sty m:val="i"/>
          </m:rPr>
          <m:t>j</m:t>
        </m:r>
        <m:r>
          <m:rPr>
            <m:sty m:val="p"/>
          </m:rPr>
          <m:t>,</m:t>
        </m:r>
        <m:r>
          <m:rPr>
            <m:sty m:val="i"/>
          </m:rPr>
          <m:t>k</m:t>
        </m:r>
        <m:r>
          <m:rPr>
            <m:sty m:val="p"/>
          </m:rPr>
          <m:t>)</m:t>
        </m:r>
      </m:oMath>
      <w:r>
        <w:rPr/>
        <w:t xml:space="preserve">.</w:t>
      </w:r>
    </w:p>
    <w:p>
      <w:pPr>
        <w:spacing w:after="220" w:lineRule="auto"/>
      </w:pPr>
      <w:r>
        <w:rPr>
          <w:rFonts w:eastAsia="Georgia" w:cs="Georgia" w:ascii="Georgia" w:hAnsi="Georgia"/>
        </w:rPr>
        <w:t xml:space="preserve">On suppose que le point représentatif de l'espèce </w:t>
      </w:r>
      <m:oMath>
        <m:sSup>
          <m:sSupPr/>
          <m:e>
            <m:r>
              <m:rPr>
                <m:sty m:val="p"/>
              </m:rPr>
              <m:t>Cl</m:t>
            </m:r>
          </m:e>
          <m:sup>
            <m:r>
              <m:rPr>
                <m:sty m:val="p"/>
              </m:rPr>
              <m:t>(</m:t>
            </m:r>
            <m:r>
              <m:rPr>
                <m:sty m:val="i"/>
              </m:rPr>
              <m:t>j</m:t>
            </m:r>
            <m:r>
              <m:rPr>
                <m:sty m:val="p"/>
              </m:rPr>
              <m:t>)</m:t>
            </m:r>
          </m:sup>
        </m:sSup>
      </m:oMath>
      <w:r>
        <w:rPr/>
        <w:t xml:space="preserve"> se situe au dessus du segment reliant les points </w:t>
      </w:r>
      <m:oMath>
        <m:sSup>
          <m:sSupPr/>
          <m:e>
            <m:r>
              <m:rPr>
                <m:sty m:val="p"/>
              </m:rPr>
              <m:t>Cl</m:t>
            </m:r>
          </m:e>
          <m:sup>
            <m:r>
              <m:rPr>
                <m:sty m:val="p"/>
              </m:rPr>
              <m:t>(</m:t>
            </m:r>
            <m:r>
              <m:rPr>
                <m:sty m:val="i"/>
              </m:rPr>
              <m:t>i</m:t>
            </m:r>
            <m:r>
              <m:rPr>
                <m:sty m:val="p"/>
              </m:rPr>
              <m:t>)</m:t>
            </m:r>
          </m:sup>
        </m:sSup>
      </m:oMath>
      <w:r>
        <w:rPr/>
        <w:t xml:space="preserve"> et </w:t>
      </w:r>
      <m:oMath>
        <m:sSup>
          <m:sSupPr/>
          <m:e>
            <m:r>
              <m:rPr>
                <m:sty m:val="p"/>
              </m:rPr>
              <m:t>Cl</m:t>
            </m:r>
          </m:e>
          <m:sup>
            <m:r>
              <m:rPr>
                <m:sty m:val="p"/>
              </m:rPr>
              <m:t>(</m:t>
            </m:r>
            <m:r>
              <m:rPr>
                <m:sty m:val="i"/>
              </m:rPr>
              <m:t>k</m:t>
            </m:r>
            <m:r>
              <m:rPr>
                <m:sty m:val="p"/>
              </m:rPr>
              <m:t>)</m:t>
            </m:r>
          </m:sup>
        </m:sSup>
      </m:oMath>
      <w:r>
        <w:rPr>
          <w:rFonts w:eastAsia="Georgia" w:cs="Georgia" w:ascii="Georgia" w:hAnsi="Georgia"/>
        </w:rPr>
        <w:t xml:space="preserve"> comme représenté sur la figure (2).</w:t>
      </w:r>
    </w:p>
    <w:p>
      <w:pPr>
        <w:spacing w:lineRule="auto"/>
        <w:jc w:val="center"/>
      </w:pPr>
      <w:r>
        <w:rPr/>
        <w:drawing>
          <wp:inline distB="0" distL="0" distR="0" distT="0">
            <wp:extent cx="5486400" cy="3290299"/>
            <wp:effectExtent b="0" l="0" r="0" t="0"/>
            <wp:docPr id="7" name="image-68ea2daa2daa3ff8903f7ad67588da522ffc631a.jpg"/>
            <a:graphic>
              <a:graphicData uri="http://schemas.openxmlformats.org/drawingml/2006/picture">
                <pic:pic>
                  <pic:nvPicPr>
                    <pic:cNvPr id="7" name="image-68ea2daa2daa3ff8903f7ad67588da522ffc631a.jpg" descr=""/>
                    <pic:cNvPicPr/>
                  </pic:nvPicPr>
                  <pic:blipFill>
                    <a:blip r:embed="rId11" cstate="print"/>
                    <a:srcRect b="0" l="0" r="0" t="0"/>
                    <a:stretch>
                      <a:fillRect/>
                    </a:stretch>
                  </pic:blipFill>
                  <pic:spPr>
                    <a:xfrm>
                      <a:off x="0" y="0"/>
                      <a:ext cx="5486400" cy="3290299"/>
                    </a:xfrm>
                    <a:prstGeom prst="rect"/>
                  </pic:spPr>
                </pic:pic>
              </a:graphicData>
            </a:graphic>
          </wp:inline>
        </w:drawing>
      </w:r>
    </w:p>
    <w:p>
      <w:pPr>
        <w:spacing w:lineRule="auto"/>
      </w:pPr>
      <w:r>
        <w:rPr>
          <w:rFonts w:eastAsia="Georgia" w:cs="Georgia" w:ascii="Georgia" w:hAnsi="Georgia"/>
        </w:rPr>
        <w:t xml:space="preserve">Figure 2 - Représentation du cas où le point médian se situe au dessus du segment reliant deux points situés de part et d'autre.</w:t>
      </w:r>
    </w:p>
    <w:p>
      <w:pPr>
        <w:numPr>
          <w:ilvl w:val="0"/>
          <w:numId w:val="18"/>
        </w:numPr>
        <w:spacing w:lineRule="auto"/>
      </w:pPr>
      <w:r>
        <w:rPr>
          <w:rFonts w:eastAsia="Georgia" w:cs="Georgia" w:ascii="Georgia" w:hAnsi="Georgia"/>
        </w:rPr>
        <w:t xml:space="preserve">En utilisant la propriété démontrée à la question (13), justifier que dans le cas décrit dans la figure (2) les potentiels standard vérifient l'inéquation (1).</w:t>
      </w:r>
    </w:p>
    <w:p>
      <w:pPr>
        <w:spacing w:after="220" w:lineRule="auto"/>
      </w:pPr>
      <m:oMathPara>
        <m:oMath>
          <m:sSup>
            <m:sSupPr/>
            <m:e>
              <m:r>
                <m:rPr>
                  <m:sty m:val="i"/>
                </m:rPr>
                <m:t>E</m:t>
              </m:r>
            </m:e>
            <m:sup>
              <m:r>
                <m:rPr>
                  <m:sty m:val="p"/>
                </m:rPr>
                <m:t>∘</m:t>
              </m:r>
            </m:sup>
          </m:sSup>
          <m:r>
            <m:rPr>
              <m:sty m:val="p"/>
            </m:rPr>
            <m:t>(</m:t>
          </m:r>
          <m:r>
            <m:rPr>
              <m:sty m:val="i"/>
            </m:rPr>
            <m:t>j</m:t>
          </m:r>
          <m:r>
            <m:rPr>
              <m:sty m:val="p"/>
            </m:rPr>
            <m:t>,</m:t>
          </m:r>
          <m:r>
            <m:rPr>
              <m:sty m:val="i"/>
            </m:rPr>
            <m:t>k</m:t>
          </m:r>
          <m:r>
            <m:rPr>
              <m:sty m:val="p"/>
            </m:rPr>
            <m:t>)</m:t>
          </m:r>
          <m:r>
            <m:rPr>
              <m:sty m:val="p"/>
            </m:rPr>
            <m:t>&lt;</m:t>
          </m:r>
          <m:sSup>
            <m:sSupPr/>
            <m:e>
              <m:r>
                <m:rPr>
                  <m:sty m:val="i"/>
                </m:rPr>
                <m:t>E</m:t>
              </m:r>
            </m:e>
            <m:sup>
              <m:r>
                <m:rPr>
                  <m:sty m:val="p"/>
                </m:rPr>
                <m:t>∘</m:t>
              </m:r>
            </m:sup>
          </m:sSup>
          <m:r>
            <m:rPr>
              <m:sty m:val="p"/>
            </m:rPr>
            <m:t>(</m:t>
          </m:r>
          <m:r>
            <m:rPr>
              <m:sty m:val="i"/>
            </m:rPr>
            <m:t>i</m:t>
          </m:r>
          <m:r>
            <m:rPr>
              <m:sty m:val="p"/>
            </m:rPr>
            <m:t>,</m:t>
          </m:r>
          <m:r>
            <m:rPr>
              <m:sty m:val="i"/>
            </m:rPr>
            <m:t>k</m:t>
          </m:r>
          <m:r>
            <m:rPr>
              <m:sty m:val="p"/>
            </m:rPr>
            <m:t>)</m:t>
          </m:r>
          <m:r>
            <m:rPr>
              <m:sty m:val="p"/>
            </m:rPr>
            <m:t>&lt;</m:t>
          </m:r>
          <m:sSup>
            <m:sSupPr/>
            <m:e>
              <m:r>
                <m:rPr>
                  <m:sty m:val="i"/>
                </m:rPr>
                <m:t>E</m:t>
              </m:r>
            </m:e>
            <m:sup>
              <m:r>
                <m:rPr>
                  <m:sty m:val="p"/>
                </m:rPr>
                <m:t>∘</m:t>
              </m:r>
            </m:sup>
          </m:sSup>
          <m:r>
            <m:rPr>
              <m:sty m:val="p"/>
            </m:rPr>
            <m:t>(</m:t>
          </m:r>
          <m:r>
            <m:rPr>
              <m:sty m:val="i"/>
            </m:rPr>
            <m:t>i</m:t>
          </m:r>
          <m:r>
            <m:rPr>
              <m:sty m:val="p"/>
            </m:rPr>
            <m:t>,</m:t>
          </m:r>
          <m:r>
            <m:rPr>
              <m:sty m:val="i"/>
            </m:rPr>
            <m:t>j</m:t>
          </m:r>
          <m:r>
            <m:rPr>
              <m:sty m:val="p"/>
            </m:rPr>
            <m:t>)</m:t>
          </m:r>
        </m:oMath>
      </m:oMathPara>
    </w:p>
    <w:p>
      <w:pPr>
        <w:numPr>
          <w:ilvl w:val="0"/>
          <w:numId w:val="19"/>
        </w:numPr>
        <w:spacing w:lineRule="auto"/>
      </w:pPr>
      <w:r>
        <w:rPr>
          <w:rFonts w:eastAsia="Georgia" w:cs="Georgia" w:ascii="Georgia" w:hAnsi="Georgia"/>
        </w:rPr>
        <w:t xml:space="preserve">Montrer alors qu'une espèce du diagramme de Frost-Ebsworth est instable vis-à-vis de la dismutation si son point est placé au-dessus du segment qui joint deux espèces qui l'entourent.</w:t>
      </w:r>
    </w:p>
    <w:p>
      <w:pPr>
        <w:numPr>
          <w:ilvl w:val="0"/>
          <w:numId w:val="19"/>
        </w:numPr>
        <w:spacing w:lineRule="auto"/>
      </w:pPr>
      <w:r>
        <w:rPr>
          <w:rFonts w:eastAsia="Georgia" w:cs="Georgia" w:ascii="Georgia" w:hAnsi="Georgia"/>
        </w:rPr>
        <w:t xml:space="preserve">En reproduisant approximativement le diagramme de la figure (1) sur votre copie et en traçant un unique seg- ment judicieusement choisi, montrer que l'acide hypochloreux, l'acide chloreux, le dioxyde de chlore et l'ion chlorate sont instables en solution aqueuse à </w:t>
      </w:r>
      <m:oMath>
        <m:r>
          <m:rPr>
            <m:sty m:val="p"/>
          </m:rPr>
          <m:t>pH</m:t>
        </m:r>
        <m:r>
          <m:rPr>
            <m:sty m:val="p"/>
          </m:rPr>
          <m:t>=</m:t>
        </m:r>
        <m:r>
          <m:rPr>
            <m:sty m:val="p"/>
          </m:rPr>
          <m:t>0</m:t>
        </m:r>
      </m:oMath>
      <w:r>
        <w:rPr/>
        <w:t xml:space="preserve">.</w:t>
      </w:r>
    </w:p>
    <w:p>
      <w:pPr>
        <w:spacing w:after="220" w:lineRule="auto"/>
      </w:pPr>
      <w:r>
        <w:rPr>
          <w:rFonts w:eastAsia="Georgia" w:cs="Georgia" w:ascii="Georgia" w:hAnsi="Georgia"/>
        </w:rPr>
        <w:t xml:space="preserve">Le diagramme de Frost-Ebsworth du chlore en milieu basique à </w:t>
      </w:r>
      <m:oMath>
        <m:r>
          <m:rPr>
            <m:sty m:val="p"/>
          </m:rPr>
          <m:t>pH</m:t>
        </m:r>
        <m:r>
          <m:rPr>
            <m:sty m:val="p"/>
          </m:rPr>
          <m:t>=</m:t>
        </m:r>
        <m:r>
          <m:rPr>
            <m:sty m:val="p"/>
          </m:rPr>
          <m:t>14</m:t>
        </m:r>
      </m:oMath>
      <w:r>
        <w:rPr>
          <w:rFonts w:eastAsia="Georgia" w:cs="Georgia" w:ascii="Georgia" w:hAnsi="Georgia"/>
        </w:rPr>
        <w:t xml:space="preserve"> est donné sur la figure (3).</w:t>
      </w:r>
    </w:p>
    <w:p>
      <w:pPr>
        <w:spacing w:lineRule="auto"/>
        <w:jc w:val="center"/>
      </w:pPr>
      <w:r>
        <w:rPr/>
        <w:drawing>
          <wp:inline distB="0" distL="0" distR="0" distT="0">
            <wp:extent cx="5486400" cy="4155019"/>
            <wp:effectExtent b="0" l="0" r="0" t="0"/>
            <wp:docPr id="8" name="image-9dc8ec58b3d32b4dc73ed71f8d8e97b93845789e.jpg"/>
            <a:graphic>
              <a:graphicData uri="http://schemas.openxmlformats.org/drawingml/2006/picture">
                <pic:pic>
                  <pic:nvPicPr>
                    <pic:cNvPr id="8" name="image-9dc8ec58b3d32b4dc73ed71f8d8e97b93845789e.jpg" descr=""/>
                    <pic:cNvPicPr/>
                  </pic:nvPicPr>
                  <pic:blipFill>
                    <a:blip r:embed="rId12" cstate="print"/>
                    <a:srcRect b="0" l="0" r="0" t="0"/>
                    <a:stretch>
                      <a:fillRect/>
                    </a:stretch>
                  </pic:blipFill>
                  <pic:spPr>
                    <a:xfrm>
                      <a:off x="0" y="0"/>
                      <a:ext cx="5486400" cy="4155019"/>
                    </a:xfrm>
                    <a:prstGeom prst="rect"/>
                  </pic:spPr>
                </pic:pic>
              </a:graphicData>
            </a:graphic>
          </wp:inline>
        </w:drawing>
      </w:r>
    </w:p>
    <w:p>
      <w:pPr>
        <w:spacing w:lineRule="auto"/>
      </w:pPr>
      <w:r>
        <w:rPr>
          <w:rFonts w:eastAsia="Georgia" w:cs="Georgia" w:ascii="Georgia" w:hAnsi="Georgia"/>
        </w:rPr>
        <w:t xml:space="preserve">Figure 3 - Diagramme de Frost-Ebsworth du chlore à </w:t>
      </w:r>
      <m:oMath>
        <m:r>
          <m:rPr>
            <m:sty m:val="p"/>
          </m:rPr>
          <m:t>pH</m:t>
        </m:r>
        <m:r>
          <m:rPr>
            <m:sty m:val="p"/>
          </m:rPr>
          <m:t>=</m:t>
        </m:r>
        <m:r>
          <m:rPr>
            <m:sty m:val="p"/>
          </m:rPr>
          <m:t>14</m:t>
        </m:r>
      </m:oMath>
      <w:r>
        <w:rPr/>
        <w:t xml:space="preserve">.</w:t>
      </w:r>
    </w:p>
    <w:p>
      <w:pPr>
        <w:numPr>
          <w:ilvl w:val="0"/>
          <w:numId w:val="20"/>
        </w:numPr>
        <w:spacing w:lineRule="auto"/>
      </w:pPr>
      <w:r>
        <w:rPr>
          <w:rFonts w:eastAsia="Georgia" w:cs="Georgia" w:ascii="Georgia" w:hAnsi="Georgia"/>
        </w:rPr>
        <w:t xml:space="preserve">Discuter de la stabilité du dichlore en milieu acide et en milieu basique.</w:t>
      </w:r>
    </w:p>
    <w:p>
      <w:pPr>
        <w:numPr>
          <w:ilvl w:val="0"/>
          <w:numId w:val="20"/>
        </w:numPr>
        <w:spacing w:lineRule="auto"/>
      </w:pPr>
      <w:r>
        <w:rPr>
          <w:rFonts w:eastAsia="Georgia" w:cs="Georgia" w:ascii="Georgia" w:hAnsi="Georgia"/>
        </w:rPr>
        <w:t xml:space="preserve">Les degrés d'oxydation extrêmes ne peuvent pas se dismuter, mais cela ne signifie pas qu'ils soient stables en solution aqueuse. Identifier les sources possibles d'instabilité de ces ions en solution aqueuse et proposer une méthode graphique à l'aide des diagrammes de Frost pour étudier cette stabilité.</w:t>
      </w:r>
    </w:p>
    <w:p>
      <w:pPr>
        <w:numPr>
          <w:ilvl w:val="0"/>
          <w:numId w:val="20"/>
        </w:numPr>
        <w:spacing w:lineRule="auto"/>
      </w:pPr>
      <w:r>
        <w:rPr>
          <w:rFonts w:eastAsia="Georgia" w:cs="Georgia" w:ascii="Georgia" w:hAnsi="Georgia"/>
        </w:rPr>
        <w:t xml:space="preserve">Justifier, à l'aide du diagramme de la figure (3), que les solutions aqueuses d'hypochlorite de sodium ( NaClO ) sont métastables selon la réaction suivante :</w:t>
      </w:r>
    </w:p>
    <w:p>
      <w:pPr>
        <w:spacing w:after="220" w:lineRule="auto"/>
      </w:pPr>
      <m:oMathPara>
        <m:oMath>
          <m:r>
            <m:rPr>
              <m:sty m:val="p"/>
            </m:rPr>
            <m:t>3</m:t>
          </m:r>
          <m:sSup>
            <m:sSupPr/>
            <m:e>
              <m:r>
                <m:rPr>
                  <m:sty m:val="p"/>
                </m:rPr>
                <m:t>ClO</m:t>
              </m:r>
            </m:e>
            <m:sup>
              <m:r>
                <m:rPr>
                  <m:sty m:val="p"/>
                </m:rPr>
                <m:t>−</m:t>
              </m:r>
            </m:sup>
          </m:sSup>
          <m:r>
            <m:rPr>
              <m:sty m:val="p"/>
            </m:rPr>
            <m:t>→</m:t>
          </m:r>
          <m:r>
            <m:rPr>
              <m:sty m:val="p"/>
            </m:rPr>
            <m:t>2</m:t>
          </m:r>
          <m:sSup>
            <m:sSupPr/>
            <m:e>
              <m:r>
                <m:rPr>
                  <m:sty m:val="p"/>
                </m:rPr>
                <m:t>Cl</m:t>
              </m:r>
            </m:e>
            <m:sup>
              <m:r>
                <m:rPr>
                  <m:sty m:val="p"/>
                </m:rPr>
                <m:t>−</m:t>
              </m:r>
            </m:sup>
          </m:sSup>
          <m:r>
            <m:rPr>
              <m:sty m:val="p"/>
            </m:rPr>
            <m:t>+</m:t>
          </m:r>
          <m:sSubSup>
            <m:sSubSupPr/>
            <m:e>
              <m:r>
                <m:rPr>
                  <m:sty m:val="p"/>
                </m:rPr>
                <m:t>ClO</m:t>
              </m:r>
            </m:e>
            <m:sub>
              <m:r>
                <m:rPr>
                  <m:sty m:val="p"/>
                </m:rPr>
                <m:t>3</m:t>
              </m:r>
            </m:sub>
            <m:sup>
              <m:r>
                <m:rPr>
                  <m:sty m:val="p"/>
                </m:rPr>
                <m:t>−</m:t>
              </m:r>
            </m:sup>
          </m:sSubSup>
        </m:oMath>
      </m:oMathPara>
    </w:p>
    <w:p>
      <w:pPr>
        <w:spacing w:after="220" w:lineRule="auto"/>
      </w:pPr>
      <w:r>
        <w:rPr>
          <w:rFonts w:eastAsia="Georgia" w:cs="Georgia" w:ascii="Georgia" w:hAnsi="Georgia"/>
        </w:rPr>
        <w:t xml:space="preserve">Bien que les solutions d'hypochlorite de sodium soient métastables, elles restent abondamment utilisées sous l'appellation eau de Javel qui comporte également du chlorure de sodium résidu du procédé de fabrication. Nous allons voir dans les deux parties suivantes deux applications de ces solutions.</w:t>
      </w:r>
    </w:p>
    <w:p>
      <w:pPr>
        <w:spacing w:line="271" w:before="330" w:lineRule="auto"/>
      </w:pPr>
      <w:r>
        <w:rPr>
          <w:rFonts w:eastAsia="Georgia" w:cs="Georgia" w:ascii="Georgia" w:hAnsi="Georgia"/>
          <w:b/>
          <w:sz w:val="42"/>
        </w:rPr>
        <w:t xml:space="preserve">3 Cinétiques de décoloration impliquant l'hypochlorite de sodium.</w:t>
      </w:r>
    </w:p>
    <w:p>
      <w:pPr>
        <w:spacing w:after="220" w:lineRule="auto"/>
      </w:pPr>
      <w:r>
        <w:rPr>
          <w:rFonts w:eastAsia="Georgia" w:cs="Georgia" w:ascii="Georgia" w:hAnsi="Georgia"/>
        </w:rPr>
        <w:t xml:space="preserve">Nous allons nous intéresser à la cinétique de décoloration d'un colorant alimentaire le bleu brillant FCF, aussi appelé E133. Une explication possible pour cette décoloration est la rupture de la délocalisation électronique suivant la réaction suivante :</w:t>
      </w:r>
      <w:r>
        <w:rPr/>
        <w:br w:type="textWrapping"/>
      </w:r>
    </w:p>
    <w:p>
      <w:pPr>
        <w:spacing w:lineRule="auto"/>
        <w:jc w:val="center"/>
      </w:pPr>
      <w:r>
        <w:rPr/>
        <w:drawing>
          <wp:inline distB="0" distL="0" distR="0" distT="0">
            <wp:extent cx="5486400" cy="1386527"/>
            <wp:effectExtent b="0" l="0" r="0" t="0"/>
            <wp:docPr id="9" name="image-11e58dc83f8650db0019e6b5adb4b4a9c50c3b43.jpg"/>
            <a:graphic>
              <a:graphicData uri="http://schemas.openxmlformats.org/drawingml/2006/picture">
                <pic:pic>
                  <pic:nvPicPr>
                    <pic:cNvPr id="9" name="image-11e58dc83f8650db0019e6b5adb4b4a9c50c3b43.jpg" descr=""/>
                    <pic:cNvPicPr/>
                  </pic:nvPicPr>
                  <pic:blipFill>
                    <a:blip r:embed="rId13" cstate="print"/>
                    <a:srcRect b="0" l="0" r="0" t="0"/>
                    <a:stretch>
                      <a:fillRect/>
                    </a:stretch>
                  </pic:blipFill>
                  <pic:spPr>
                    <a:xfrm>
                      <a:off x="0" y="0"/>
                      <a:ext cx="5486400" cy="1386527"/>
                    </a:xfrm>
                    <a:prstGeom prst="rect"/>
                  </pic:spPr>
                </pic:pic>
              </a:graphicData>
            </a:graphic>
          </wp:inline>
        </w:drawing>
      </w:r>
    </w:p>
    <w:p>
      <w:pPr>
        <w:spacing w:after="220" w:lineRule="auto"/>
      </w:pPr>
      <w:r>
        <w:rPr>
          <w:rFonts w:eastAsia="Georgia" w:cs="Georgia" w:ascii="Georgia" w:hAnsi="Georgia"/>
        </w:rPr>
        <w:t xml:space="preserve">On supposera dans la suite que la seule espèce qui absorbe à la longueur d'onde utilisée </w:t>
      </w:r>
      <m:oMath>
        <m:r>
          <m:rPr>
            <m:sty m:val="i"/>
          </m:rPr>
          <m:t>λ</m:t>
        </m:r>
        <m:r>
          <m:rPr>
            <m:sty m:val="p"/>
          </m:rPr>
          <m:t>=</m:t>
        </m:r>
        <m:r>
          <m:rPr>
            <m:sty m:val="p"/>
          </m:rPr>
          <m:t>628</m:t>
        </m:r>
        <m:r>
          <m:rPr>
            <m:nor/>
          </m:rPr>
          <m:t xml:space="preserve"> </m:t>
        </m:r>
        <m:r>
          <m:rPr>
            <m:sty m:val="p"/>
          </m:rPr>
          <m:t>nm</m:t>
        </m:r>
      </m:oMath>
      <w:r>
        <w:rPr/>
        <w:t xml:space="preserve"> est le bleu brillant FCF.</w:t>
      </w:r>
    </w:p>
    <w:p>
      <w:pPr>
        <w:spacing w:after="220" w:lineRule="auto"/>
      </w:pPr>
      <w:r>
        <w:rPr>
          <w:rFonts w:eastAsia="Georgia" w:cs="Georgia" w:ascii="Georgia" w:hAnsi="Georgia"/>
        </w:rPr>
        <w:t xml:space="preserve">Le protocole suivi pour la détermination de la loi cinétique est décrit dans le document 1 .</w:t>
      </w:r>
    </w:p>
    <w:p>
      <w:pPr>
        <w:spacing w:line="271" w:before="330" w:lineRule="auto"/>
      </w:pPr>
      <w:r>
        <w:rPr>
          <w:rFonts w:eastAsia="Georgia" w:cs="Georgia" w:ascii="Georgia" w:hAnsi="Georgia"/>
          <w:b/>
          <w:sz w:val="42"/>
        </w:rPr>
        <w:t xml:space="preserve">DOCUMENT 1 - Mode opératoire de détermination de la cinétique de décoloration d'un colorant alimentaire par l'eau de Javel.</w:t>
      </w:r>
    </w:p>
    <w:p>
      <w:pPr>
        <w:spacing w:after="220" w:lineRule="auto"/>
      </w:pPr>
      <w:r>
        <w:rPr>
          <w:rFonts w:eastAsia="Georgia" w:cs="Georgia" w:ascii="Georgia" w:hAnsi="Georgia"/>
        </w:rPr>
        <w:t xml:space="preserve">La détermination de la cinétique de la réaction est effectuée dans un réacteur ouvert parfaitement agité. Elle est basée sur la mesure de l'absorbance à l'état stationnaire de la solution contenue dans le réacteur. Le mode opératoire suivi est le suivant :</w:t>
      </w:r>
    </w:p>
    <w:p>
      <w:pPr>
        <w:numPr>
          <w:ilvl w:val="0"/>
          <w:numId w:val="21"/>
        </w:numPr>
        <w:spacing w:lineRule="auto"/>
      </w:pPr>
      <w:r>
        <w:rPr>
          <w:rFonts w:eastAsia="Georgia" w:cs="Georgia" w:ascii="Georgia" w:hAnsi="Georgia"/>
        </w:rPr>
        <w:t xml:space="preserve">Le réacteur est préalablement rempli d'eau distillée afin d'effectuer le blanc d'absorbance.</w:t>
      </w:r>
    </w:p>
    <w:p>
      <w:pPr>
        <w:numPr>
          <w:ilvl w:val="0"/>
          <w:numId w:val="21"/>
        </w:numPr>
        <w:spacing w:lineRule="auto"/>
      </w:pPr>
      <w:r>
        <w:rPr>
          <w:rFonts w:eastAsia="Georgia" w:cs="Georgia" w:ascii="Georgia" w:hAnsi="Georgia"/>
        </w:rPr>
        <w:t xml:space="preserve">Une fois que l'eau a été drainée en dehors du réacteur, exactement 300 mL de la solution de colorant, à la concentration d'entrée </w:t>
      </w:r>
      <m:oMath>
        <m:sSub>
          <m:sSubPr/>
          <m:e>
            <m:r>
              <m:rPr>
                <m:sty m:val="i"/>
              </m:rPr>
              <m:t>c</m:t>
            </m:r>
          </m:e>
          <m:sub>
            <m:r>
              <m:rPr>
                <m:sty m:val="i"/>
              </m:rPr>
              <m:t>e</m:t>
            </m:r>
          </m:sub>
        </m:sSub>
      </m:oMath>
      <w:r>
        <w:rPr>
          <w:rFonts w:eastAsia="Georgia" w:cs="Georgia" w:ascii="Georgia" w:hAnsi="Georgia"/>
        </w:rPr>
        <w:t xml:space="preserve">, est introduite dans le réacteur. L'agitation magnétique est mise en route et exactement 300 mL d'une solution d'eau de Javel est introduite. L'absorbance initiale </w:t>
      </w:r>
      <m:oMath>
        <m:sSub>
          <m:sSubPr/>
          <m:e>
            <m:r>
              <m:rPr>
                <m:sty m:val="i"/>
              </m:rPr>
              <m:t>A</m:t>
            </m:r>
          </m:e>
          <m:sub>
            <m:r>
              <m:rPr>
                <m:sty m:val="p"/>
              </m:rPr>
              <m:t>0</m:t>
            </m:r>
          </m:sub>
        </m:sSub>
      </m:oMath>
      <w:r>
        <w:rPr>
          <w:rFonts w:eastAsia="Georgia" w:cs="Georgia" w:ascii="Georgia" w:hAnsi="Georgia"/>
        </w:rPr>
        <w:t xml:space="preserve"> est mesurée après mélange. L'acquisition temporelle de l'absorbance de la solution est lancée lorsque l'ajout est terminée.</w:t>
      </w:r>
    </w:p>
    <w:p>
      <w:pPr>
        <w:numPr>
          <w:ilvl w:val="0"/>
          <w:numId w:val="21"/>
        </w:numPr>
        <w:spacing w:lineRule="auto"/>
      </w:pPr>
      <w:r>
        <w:rPr>
          <w:rFonts w:eastAsia="Georgia" w:cs="Georgia" w:ascii="Georgia" w:hAnsi="Georgia"/>
        </w:rPr>
        <w:t xml:space="preserve">Les deux pompes sont ensuite allumées pour alimenter en colorant, à la concentration </w:t>
      </w:r>
      <m:oMath>
        <m:sSub>
          <m:sSubPr/>
          <m:e>
            <m:r>
              <m:rPr>
                <m:sty m:val="i"/>
              </m:rPr>
              <m:t>c</m:t>
            </m:r>
          </m:e>
          <m:sub>
            <m:r>
              <m:rPr>
                <m:sty m:val="p"/>
              </m:rPr>
              <m:t>e</m:t>
            </m:r>
          </m:sub>
        </m:sSub>
      </m:oMath>
      <w:r>
        <w:rPr>
          <w:rFonts w:eastAsia="Georgia" w:cs="Georgia" w:ascii="Georgia" w:hAnsi="Georgia"/>
        </w:rPr>
        <w:t xml:space="preserve">, et en eau de Javel de manière continue. Les débits en eau de Javel et en colorant sont réglés de telle manière à être égaux et sont ajustables jusqu'à un débit de </w:t>
      </w:r>
      <m:oMath>
        <m:r>
          <m:rPr>
            <m:sty m:val="p"/>
          </m:rPr>
          <m:t>80</m:t>
        </m:r>
        <m:r>
          <m:rPr>
            <m:nor/>
          </m:rPr>
          <m:t xml:space="preserve"> </m:t>
        </m:r>
        <m:r>
          <m:rPr>
            <m:sty m:val="p"/>
          </m:rPr>
          <m:t>mL</m:t>
        </m:r>
        <m:r>
          <m:rPr>
            <m:sty m:val="p"/>
          </m:rPr>
          <m:t>⋅</m:t>
        </m:r>
        <m:sSup>
          <m:sSupPr/>
          <m:e>
            <m:r>
              <m:rPr>
                <m:nor/>
              </m:rPr>
              <m:t xml:space="preserve"> </m:t>
            </m:r>
            <m:r>
              <m:rPr>
                <m:sty m:val="p"/>
              </m:rPr>
              <m:t>min</m:t>
            </m:r>
          </m:e>
          <m:sup>
            <m:r>
              <m:rPr>
                <m:sty m:val="p"/>
              </m:rPr>
              <m:t>−</m:t>
            </m:r>
            <m:r>
              <m:rPr>
                <m:sty m:val="p"/>
              </m:rPr>
              <m:t>1</m:t>
            </m:r>
          </m:sup>
        </m:sSup>
      </m:oMath>
      <w:r>
        <w:rPr/>
        <w:t xml:space="preserve">.</w:t>
      </w:r>
    </w:p>
    <w:p>
      <w:pPr>
        <w:numPr>
          <w:ilvl w:val="0"/>
          <w:numId w:val="21"/>
        </w:numPr>
        <w:spacing w:lineRule="auto"/>
      </w:pPr>
      <w:r>
        <w:rPr>
          <w:rFonts w:eastAsia="Georgia" w:cs="Georgia" w:ascii="Georgia" w:hAnsi="Georgia"/>
        </w:rPr>
        <w:t xml:space="preserve">La sortie est ensuite ouverte. Elle est constituée d'un siphon de hauteur fixe réglable. Le liquide s'écoule sous l'effet de la gravité et un tube de sortie situé à une hauteur plus élevée résulte en un volume de réacteur plus élevé. Le volume est alors déterminé en mesurant la profondeur du liquide atteinte en régime permanent. On peut ainsi faire varier le temps de passage dans le réacteur en modifiant la hauteur du tube de sortie. Il est également possible de faire varier le temps de passage en modifiant le débit d'alimentation en réactif.</w:t>
      </w:r>
    </w:p>
    <w:p>
      <w:pPr>
        <w:spacing w:after="220" w:lineRule="auto"/>
      </w:pPr>
      <w:r>
        <w:rPr>
          <w:rFonts w:eastAsia="Georgia" w:cs="Georgia" w:ascii="Georgia" w:hAnsi="Georgia"/>
        </w:rPr>
        <w:t xml:space="preserve">Le dispositif est représenté sur le schéma suivant.</w:t>
      </w:r>
      <w:r>
        <w:rPr/>
        <w:br w:type="textWrapping"/>
      </w:r>
    </w:p>
    <w:p>
      <w:pPr>
        <w:spacing w:lineRule="auto"/>
        <w:jc w:val="center"/>
      </w:pPr>
      <w:r>
        <w:rPr/>
        <w:drawing>
          <wp:inline distB="0" distL="0" distR="0" distT="0">
            <wp:extent cx="5486400" cy="4249933"/>
            <wp:effectExtent b="0" l="0" r="0" t="0"/>
            <wp:docPr id="10" name="image-64d370dacb8bba16b5fbbecd6c19bb0720b4ce22.jpg"/>
            <a:graphic>
              <a:graphicData uri="http://schemas.openxmlformats.org/drawingml/2006/picture">
                <pic:pic>
                  <pic:nvPicPr>
                    <pic:cNvPr id="10" name="image-64d370dacb8bba16b5fbbecd6c19bb0720b4ce22.jpg" descr=""/>
                    <pic:cNvPicPr/>
                  </pic:nvPicPr>
                  <pic:blipFill>
                    <a:blip r:embed="rId14" cstate="print"/>
                    <a:srcRect b="0" l="0" r="0" t="0"/>
                    <a:stretch>
                      <a:fillRect/>
                    </a:stretch>
                  </pic:blipFill>
                  <pic:spPr>
                    <a:xfrm>
                      <a:off x="0" y="0"/>
                      <a:ext cx="5486400" cy="4249933"/>
                    </a:xfrm>
                    <a:prstGeom prst="rect"/>
                  </pic:spPr>
                </pic:pic>
              </a:graphicData>
            </a:graphic>
          </wp:inline>
        </w:drawing>
      </w:r>
    </w:p>
    <w:p>
      <w:pPr>
        <w:spacing w:after="220" w:lineRule="auto"/>
      </w:pPr>
      <w:r>
        <w:rPr>
          <w:rFonts w:eastAsia="Georgia" w:cs="Georgia" w:ascii="Georgia" w:hAnsi="Georgia"/>
        </w:rPr>
        <w:t xml:space="preserve">En régime permanent, le débit volumique de sortie est égal au débit volumique d'entrée total des deux réactifs :</w:t>
      </w:r>
    </w:p>
    <w:p>
      <w:pPr>
        <w:spacing w:after="220" w:lineRule="auto"/>
      </w:pPr>
      <m:oMathPara>
        <m:oMath>
          <m:sSub>
            <m:sSubPr/>
            <m:e>
              <m:r>
                <m:rPr>
                  <m:sty m:val="i"/>
                </m:rPr>
                <m:t>D</m:t>
              </m:r>
            </m:e>
            <m:sub>
              <m:r>
                <m:rPr>
                  <m:sty m:val="p"/>
                </m:rPr>
                <m:t>s</m:t>
              </m:r>
            </m:sub>
          </m:sSub>
          <m:r>
            <m:rPr>
              <m:sty m:val="p"/>
            </m:rPr>
            <m:t>=</m:t>
          </m:r>
          <m:sSub>
            <m:sSubPr/>
            <m:e>
              <m:r>
                <m:rPr>
                  <m:sty m:val="i"/>
                </m:rPr>
                <m:t>D</m:t>
              </m:r>
            </m:e>
            <m:sub>
              <m:r>
                <m:rPr>
                  <m:sty m:val="p"/>
                </m:rPr>
                <m:t>e</m:t>
              </m:r>
            </m:sub>
          </m:sSub>
          <m:r>
            <m:rPr>
              <m:sty m:val="p"/>
            </m:rPr>
            <m:t>+</m:t>
          </m:r>
          <m:sSub>
            <m:sSubPr/>
            <m:e>
              <m:r>
                <m:rPr>
                  <m:sty m:val="i"/>
                </m:rPr>
                <m:t>D</m:t>
              </m:r>
            </m:e>
            <m:sub>
              <m:r>
                <m:rPr>
                  <m:sty m:val="p"/>
                </m:rPr>
                <m:t>e</m:t>
              </m:r>
            </m:sub>
          </m:sSub>
          <m:r>
            <m:rPr>
              <m:sty m:val="p"/>
            </m:rPr>
            <m:t>=</m:t>
          </m:r>
          <m:r>
            <m:rPr>
              <m:sty m:val="p"/>
            </m:rPr>
            <m:t>2</m:t>
          </m:r>
          <m:sSub>
            <m:sSubPr/>
            <m:e>
              <m:r>
                <m:rPr>
                  <m:sty m:val="i"/>
                </m:rPr>
                <m:t>D</m:t>
              </m:r>
            </m:e>
            <m:sub>
              <m:r>
                <m:rPr>
                  <m:sty m:val="p"/>
                </m:rPr>
                <m:t>e</m:t>
              </m:r>
            </m:sub>
          </m:sSub>
        </m:oMath>
      </m:oMathPara>
    </w:p>
    <w:p>
      <w:pPr>
        <w:spacing w:after="220" w:lineRule="auto"/>
      </w:pPr>
      <w:r>
        <w:rPr>
          <w:rFonts w:eastAsia="Georgia" w:cs="Georgia" w:ascii="Georgia" w:hAnsi="Georgia"/>
        </w:rPr>
        <w:t xml:space="preserve">Dans l'expérience menée ici, trois conditions opératoires ont été testées avec des volumes et des débits différents comme indiqué dans le tableau (2).</w:t>
      </w:r>
    </w:p>
    <w:p>
      <w:pPr>
        <w:spacing w:after="220" w:lineRule="auto"/>
      </w:pPr>
      <w:r>
        <w:rPr>
          <w:rFonts w:eastAsia="Georgia" w:cs="Georgia" w:ascii="Georgia" w:hAnsi="Georgia"/>
        </w:rPr>
        <w:t xml:space="preserve">L'absorbance dans la solution dans le réacteur évolue jusqu'à atteindre une valeur fixe en régime permanent. La valeur de l'absorbance atteinte en régime permanent sera notée </w:t>
      </w:r>
      <m:oMath>
        <m:sSub>
          <m:sSubPr/>
          <m:e>
            <m:r>
              <m:rPr>
                <m:sty m:val="i"/>
              </m:rPr>
              <m:t>A</m:t>
            </m:r>
          </m:e>
          <m:sub>
            <m:r>
              <m:rPr>
                <m:nor/>
              </m:rPr>
              <m:t>perm </m:t>
            </m:r>
          </m:sub>
        </m:sSub>
      </m:oMath>
      <w:r>
        <w:rPr>
          <w:rFonts w:eastAsia="Georgia" w:cs="Georgia" w:ascii="Georgia" w:hAnsi="Georgia"/>
        </w:rPr>
        <w:t xml:space="preserve">. L'évolution de l'absorbance au cours du temps obtenue est donnée sur la figure (4) dans le cas des trois expériences décrites dans le tableau (2).</w:t>
      </w:r>
      <w:r>
        <w:rPr/>
        <w:br w:type="textWrapping"/>
      </w:r>
      <w:r>
        <w:rPr>
          <w:rFonts w:eastAsia="Georgia" w:cs="Georgia" w:ascii="Georgia" w:hAnsi="Georgia"/>
        </w:rPr>
        <w:t xml:space="preserve">22. Définir le temps de passage </w:t>
      </w:r>
      <m:oMath>
        <m:r>
          <m:rPr>
            <m:sty m:val="i"/>
          </m:rPr>
          <m:t>τ</m:t>
        </m:r>
      </m:oMath>
      <w:r>
        <w:rPr>
          <w:rFonts w:eastAsia="Georgia" w:cs="Georgia" w:ascii="Georgia" w:hAnsi="Georgia"/>
        </w:rPr>
        <w:t xml:space="preserve"> dans le réacteur en fonction du volume du réacteur </w:t>
      </w:r>
      <m:oMath>
        <m:r>
          <m:rPr>
            <m:sty m:val="i"/>
          </m:rPr>
          <m:t>V</m:t>
        </m:r>
      </m:oMath>
      <w:r>
        <w:rPr>
          <w:rFonts w:eastAsia="Georgia" w:cs="Georgia" w:ascii="Georgia" w:hAnsi="Georgia"/>
        </w:rPr>
        <w:t xml:space="preserve"> et du débit volumique total dans le réacteur </w:t>
      </w:r>
      <m:oMath>
        <m:sSub>
          <m:sSubPr/>
          <m:e>
            <m:r>
              <m:rPr>
                <m:sty m:val="i"/>
              </m:rPr>
              <m:t>D</m:t>
            </m:r>
          </m:e>
          <m:sub>
            <m:r>
              <m:rPr>
                <m:sty m:val="p"/>
              </m:rPr>
              <m:t>s</m:t>
            </m:r>
          </m:sub>
        </m:sSub>
      </m:oMath>
      <w:r>
        <w:rPr/>
        <w:t xml:space="preserve">.</w:t>
      </w:r>
    </w:p>
    <w:tbl>
      <w:tblPr>
        <w:tblStyle w:val="TableGrid"/>
        <w:jc w:val="center"/>
        <w:tblCellSpacing w:w="0" w:type="dxa"/>
        <w:tblBorders/>
        <w:tblCellMar>
          <w:top w:type="dxa" w:w="80"/>
          <w:left w:type="dxa" w:w="160"/>
          <w:bottom w:type="dxa" w:w="80"/>
          <w:right w:type="dxa" w:w="160"/>
        </w:tblCellMar>
      </w:tblPr>
      <w:tblGrid>
        <w:gridCol w:w="2160"/>
        <w:gridCol w:w="2160"/>
        <w:gridCol w:w="2160"/>
        <w:gridCol w:w="2160"/>
      </w:tblGrid>
      <w:tr>
        <w:trPr>
          <w:cantSplit/>
        </w:trPr>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Expérience</w:t>
            </w:r>
          </w:p>
        </w:tc>
        <w:tc>
          <w:tcPr>
            <w:tcBorders>
              <w:bottom w:val="single" w:sz="8" w:space="0" w:color="000000"/>
            </w:tcBorders>
            <w:vAlign w:val="center"/>
          </w:tcPr>
          <w:p>
            <w:pPr>
              <w:spacing w:lineRule="auto"/>
              <w:jc w:val="center"/>
            </w:pPr>
            <w:r>
              <w:rPr/>
              <w:t xml:space="preserve">(a)</w:t>
            </w:r>
          </w:p>
        </w:tc>
        <w:tc>
          <w:tcPr>
            <w:tcBorders>
              <w:bottom w:val="single" w:sz="8" w:space="0" w:color="000000"/>
            </w:tcBorders>
            <w:vAlign w:val="center"/>
          </w:tcPr>
          <w:p>
            <w:pPr>
              <w:spacing w:lineRule="auto"/>
              <w:jc w:val="center"/>
            </w:pPr>
            <w:r>
              <w:rPr/>
              <w:t xml:space="preserve">(b)</w:t>
            </w:r>
          </w:p>
        </w:tc>
        <w:tc>
          <w:tcPr>
            <w:tcBorders>
              <w:bottom w:val="single" w:sz="8" w:space="0" w:color="000000"/>
            </w:tcBorders>
            <w:vAlign w:val="center"/>
          </w:tcPr>
          <w:p>
            <w:pPr>
              <w:spacing w:lineRule="auto"/>
              <w:jc w:val="center"/>
            </w:pPr>
            <w:r>
              <w:rPr/>
              <w:t xml:space="preserve">(c)</w:t>
            </w:r>
          </w:p>
        </w:tc>
      </w:tr>
      <w:tr>
        <w:trPr>
          <w:cantSplit/>
        </w:trPr>
        <w:tc>
          <w:tcPr>
            <w:tcBorders>
              <w:right w:val="single" w:sz="8" w:space="0" w:color="000000"/>
            </w:tcBorders>
            <w:vAlign w:val="center"/>
          </w:tcPr>
          <w:p>
            <w:pPr>
              <w:spacing w:lineRule="auto"/>
              <w:jc w:val="left"/>
            </w:pPr>
            <w:r>
              <w:rPr>
                <w:rFonts w:eastAsia="Georgia" w:cs="Georgia" w:ascii="Georgia" w:hAnsi="Georgia"/>
              </w:rPr>
              <w:t xml:space="preserve">Volume du réacteur </w:t>
            </w:r>
            <m:oMath>
              <m:r>
                <m:rPr>
                  <m:sty m:val="i"/>
                </m:rPr>
                <m:t>V</m:t>
              </m:r>
              <m:r>
                <m:rPr>
                  <m:sty m:val="p"/>
                </m:rPr>
                <m:t>(</m:t>
              </m:r>
              <m:r>
                <m:rPr>
                  <m:nor/>
                </m:rPr>
                <m:t xml:space="preserve"> </m:t>
              </m:r>
              <m:r>
                <m:rPr>
                  <m:sty m:val="p"/>
                </m:rPr>
                <m:t>mL</m:t>
              </m:r>
              <m:r>
                <m:rPr>
                  <m:sty m:val="p"/>
                </m:rPr>
                <m:t>)</m:t>
              </m:r>
            </m:oMath>
          </w:p>
        </w:tc>
        <w:tc>
          <w:tcPr>
            <w:tcBorders/>
            <w:vAlign w:val="center"/>
          </w:tcPr>
          <w:p>
            <w:pPr>
              <w:spacing w:lineRule="auto"/>
              <w:jc w:val="center"/>
            </w:pPr>
            <w:r>
              <w:rPr/>
              <w:t xml:space="preserve">600</w:t>
            </w:r>
          </w:p>
        </w:tc>
        <w:tc>
          <w:tcPr>
            <w:tcBorders/>
            <w:vAlign w:val="center"/>
          </w:tcPr>
          <w:p>
            <w:pPr>
              <w:spacing w:lineRule="auto"/>
              <w:jc w:val="center"/>
            </w:pPr>
            <w:r>
              <w:rPr/>
              <w:t xml:space="preserve">350</w:t>
            </w:r>
          </w:p>
        </w:tc>
        <w:tc>
          <w:tcPr>
            <w:tcBorders/>
            <w:vAlign w:val="center"/>
          </w:tcPr>
          <w:p>
            <w:pPr>
              <w:spacing w:lineRule="auto"/>
              <w:jc w:val="center"/>
            </w:pPr>
            <w:r>
              <w:rPr/>
              <w:t xml:space="preserve">350</w:t>
            </w:r>
          </w:p>
        </w:tc>
      </w:tr>
      <w:tr>
        <w:trPr>
          <w:cantSplit/>
        </w:trPr>
        <w:tc>
          <w:tcPr>
            <w:tcBorders>
              <w:right w:val="single" w:sz="8" w:space="0" w:color="000000"/>
            </w:tcBorders>
            <w:vAlign w:val="center"/>
          </w:tcPr>
          <w:p>
            <w:pPr>
              <w:spacing w:lineRule="auto"/>
              <w:jc w:val="left"/>
            </w:pPr>
            <w:r>
              <w:rPr>
                <w:rFonts w:eastAsia="Georgia" w:cs="Georgia" w:ascii="Georgia" w:hAnsi="Georgia"/>
              </w:rPr>
              <w:t xml:space="preserve">Débit volumique total </w:t>
            </w:r>
            <m:oMath>
              <m:sSub>
                <m:sSubPr/>
                <m:e>
                  <m:r>
                    <m:rPr>
                      <m:sty m:val="i"/>
                    </m:rPr>
                    <m:t>D</m:t>
                  </m:r>
                </m:e>
                <m:sub>
                  <m:r>
                    <m:rPr>
                      <m:sty m:val="p"/>
                    </m:rPr>
                    <m:t>s</m:t>
                  </m:r>
                </m:sub>
              </m:sSub>
              <m:d>
                <m:dPr>
                  <m:begChr m:val="("/>
                  <m:endChr m:val=")"/>
                  <m:ctrlPr>
                    <w:rPr>
                      <w:rFonts w:ascii="Cambria Math" w:hAnsi="Cambria Math"/>
                    </w:rPr>
                  </m:ctrlPr>
                </m:dPr>
                <m:e>
                  <m:r>
                    <m:rPr>
                      <m:sty m:val="p"/>
                    </m:rPr>
                    <m:t>mL</m:t>
                  </m:r>
                  <m:r>
                    <m:rPr>
                      <m:sty m:val="p"/>
                    </m:rPr>
                    <m:t>⋅</m:t>
                  </m:r>
                  <m:sSup>
                    <m:sSupPr/>
                    <m:e>
                      <m:r>
                        <m:rPr>
                          <m:sty m:val="p"/>
                        </m:rPr>
                        <m:t>min</m:t>
                      </m:r>
                    </m:e>
                    <m:sup>
                      <m:r>
                        <m:rPr>
                          <m:sty m:val="p"/>
                        </m:rPr>
                        <m:t>−</m:t>
                      </m:r>
                      <m:r>
                        <m:rPr>
                          <m:sty m:val="p"/>
                        </m:rPr>
                        <m:t>1</m:t>
                      </m:r>
                    </m:sup>
                  </m:sSup>
                </m:e>
              </m:d>
            </m:oMath>
          </w:p>
        </w:tc>
        <w:tc>
          <w:tcPr>
            <w:tcBorders/>
            <w:vAlign w:val="center"/>
          </w:tcPr>
          <w:p>
            <w:pPr>
              <w:spacing w:lineRule="auto"/>
              <w:jc w:val="center"/>
            </w:pPr>
            <w:r>
              <w:rPr/>
              <w:t xml:space="preserve">78,4</w:t>
            </w:r>
          </w:p>
        </w:tc>
        <w:tc>
          <w:tcPr>
            <w:tcBorders/>
            <w:vAlign w:val="center"/>
          </w:tcPr>
          <w:p>
            <w:pPr>
              <w:spacing w:lineRule="auto"/>
              <w:jc w:val="center"/>
            </w:pPr>
            <w:r>
              <w:rPr/>
              <w:t xml:space="preserve">78,4</w:t>
            </w:r>
          </w:p>
        </w:tc>
        <w:tc>
          <w:tcPr>
            <w:tcBorders/>
            <w:vAlign w:val="center"/>
          </w:tcPr>
          <w:p>
            <w:pPr>
              <w:spacing w:lineRule="auto"/>
              <w:jc w:val="center"/>
            </w:pPr>
            <w:r>
              <w:rPr/>
              <w:t xml:space="preserve">27,4</w:t>
            </w:r>
          </w:p>
        </w:tc>
      </w:tr>
    </w:tbl>
    <w:p>
      <w:pPr>
        <w:spacing w:lineRule="auto"/>
      </w:pPr>
    </w:p>
    <w:p>
      <w:pPr>
        <w:spacing w:lineRule="auto"/>
      </w:pPr>
      <w:r>
        <w:rPr>
          <w:rFonts w:eastAsia="Georgia" w:cs="Georgia" w:ascii="Georgia" w:hAnsi="Georgia"/>
        </w:rPr>
        <w:t xml:space="preserve">TABLEAU 2 - Conditions opératoires adoptées pour les trois expérience en réacteur ouvert.</w:t>
      </w:r>
    </w:p>
    <w:p>
      <w:pPr>
        <w:spacing w:lineRule="auto"/>
        <w:jc w:val="center"/>
      </w:pPr>
      <w:r>
        <w:rPr/>
        <w:drawing>
          <wp:inline distB="0" distL="0" distR="0" distT="0">
            <wp:extent cx="5486400" cy="3436883"/>
            <wp:effectExtent b="0" l="0" r="0" t="0"/>
            <wp:docPr id="11" name="image-e09c38d82af1a76078bf7a15cbc1b15bf8aca989.jpg"/>
            <a:graphic>
              <a:graphicData uri="http://schemas.openxmlformats.org/drawingml/2006/picture">
                <pic:pic>
                  <pic:nvPicPr>
                    <pic:cNvPr id="11" name="image-e09c38d82af1a76078bf7a15cbc1b15bf8aca989.jpg" descr=""/>
                    <pic:cNvPicPr/>
                  </pic:nvPicPr>
                  <pic:blipFill>
                    <a:blip r:embed="rId15" cstate="print"/>
                    <a:srcRect b="0" l="0" r="0" t="0"/>
                    <a:stretch>
                      <a:fillRect/>
                    </a:stretch>
                  </pic:blipFill>
                  <pic:spPr>
                    <a:xfrm>
                      <a:off x="0" y="0"/>
                      <a:ext cx="5486400" cy="3436883"/>
                    </a:xfrm>
                    <a:prstGeom prst="rect"/>
                  </pic:spPr>
                </pic:pic>
              </a:graphicData>
            </a:graphic>
          </wp:inline>
        </w:drawing>
      </w:r>
    </w:p>
    <w:p>
      <w:pPr>
        <w:spacing w:lineRule="auto"/>
      </w:pPr>
      <w:r>
        <w:rPr>
          <w:rFonts w:eastAsia="Georgia" w:cs="Georgia" w:ascii="Georgia" w:hAnsi="Georgia"/>
        </w:rPr>
        <w:t xml:space="preserve">Figure 4 - Évolution de l'absorbance pour trois essais consécutifs. La concentration en colorant est de </w:t>
      </w:r>
      <m:oMath>
        <m:r>
          <m:rPr>
            <m:sty m:val="p"/>
          </m:rPr>
          <m:t>12</m:t>
        </m:r>
        <m:r>
          <m:rPr>
            <m:sty m:val="i"/>
          </m:rPr>
          <m:t>μ</m:t>
        </m:r>
        <m:r>
          <m:rPr>
            <m:nor/>
          </m:rPr>
          <m:t xml:space="preserve"> </m:t>
        </m:r>
        <m:r>
          <m:rPr>
            <m:sty m:val="p"/>
          </m:rPr>
          <m:t>mol</m:t>
        </m:r>
        <m:r>
          <m:rPr>
            <m:sty m:val="p"/>
          </m:rPr>
          <m:t>⋅</m:t>
        </m:r>
        <m:sSup>
          <m:sSupPr/>
          <m:e>
            <m:r>
              <m:rPr>
                <m:nor/>
              </m:rPr>
              <m:t xml:space="preserve"> </m:t>
            </m:r>
            <m:r>
              <m:rPr>
                <m:sty m:val="p"/>
              </m:rPr>
              <m:t>L</m:t>
            </m:r>
          </m:e>
          <m:sup>
            <m:r>
              <m:rPr>
                <m:sty m:val="p"/>
              </m:rPr>
              <m:t>−</m:t>
            </m:r>
            <m:r>
              <m:rPr>
                <m:sty m:val="p"/>
              </m:rPr>
              <m:t>1</m:t>
            </m:r>
          </m:sup>
        </m:sSup>
      </m:oMath>
      <w:r>
        <w:rPr/>
        <w:t xml:space="preserve"> et la concentration en hypochlorite est de </w:t>
      </w:r>
      <m:oMath>
        <m:r>
          <m:rPr>
            <m:sty m:val="p"/>
          </m:rPr>
          <m:t>20</m:t>
        </m:r>
        <m:r>
          <m:rPr>
            <m:sty m:val="p"/>
          </m:rPr>
          <m:t>mmol</m:t>
        </m:r>
        <m:r>
          <m:rPr>
            <m:sty m:val="p"/>
          </m:rPr>
          <m:t>⋅</m:t>
        </m:r>
        <m:sSup>
          <m:sSupPr/>
          <m:e>
            <m:r>
              <m:rPr>
                <m:sty m:val="p"/>
              </m:rPr>
              <m:t>L</m:t>
            </m:r>
          </m:e>
          <m:sup>
            <m:r>
              <m:rPr>
                <m:sty m:val="p"/>
              </m:rPr>
              <m:t>−</m:t>
            </m:r>
            <m:r>
              <m:rPr>
                <m:sty m:val="p"/>
              </m:rPr>
              <m:t>1</m:t>
            </m:r>
          </m:sup>
        </m:sSup>
      </m:oMath>
      <w:r>
        <w:rPr>
          <w:rFonts w:eastAsia="Georgia" w:cs="Georgia" w:ascii="Georgia" w:hAnsi="Georgia"/>
        </w:rPr>
        <w:t xml:space="preserve">. Les lignes verticales indiquent les changements de conditions opératoires.</w:t>
      </w:r>
    </w:p>
    <w:p>
      <w:pPr>
        <w:numPr>
          <w:ilvl w:val="0"/>
          <w:numId w:val="22"/>
        </w:numPr>
        <w:spacing w:lineRule="auto"/>
      </w:pPr>
      <w:r>
        <w:rPr>
          <w:rFonts w:eastAsia="Georgia" w:cs="Georgia" w:ascii="Georgia" w:hAnsi="Georgia"/>
        </w:rPr>
        <w:t xml:space="preserve">En effectuant un bilan dans le réacteur en régime permanent, montrer que la vitesse volumique de réaction de décoloration, notée </w:t>
      </w:r>
      <m:oMath>
        <m:r>
          <m:rPr>
            <m:sty m:val="i"/>
          </m:rPr>
          <m:t>v</m:t>
        </m:r>
      </m:oMath>
      <w:r>
        <w:rPr>
          <w:rFonts w:eastAsia="Georgia" w:cs="Georgia" w:ascii="Georgia" w:hAnsi="Georgia"/>
        </w:rPr>
        <w:t xml:space="preserve">, peut s'exprimer en fonction de la concentration en colorant en entrée </w:t>
      </w:r>
      <m:oMath>
        <m:sSub>
          <m:sSubPr/>
          <m:e>
            <m:r>
              <m:rPr>
                <m:sty m:val="i"/>
              </m:rPr>
              <m:t>c</m:t>
            </m:r>
          </m:e>
          <m:sub>
            <m:r>
              <m:rPr>
                <m:sty m:val="p"/>
              </m:rPr>
              <m:t>e</m:t>
            </m:r>
          </m:sub>
        </m:sSub>
      </m:oMath>
      <w:r>
        <w:rPr>
          <w:rFonts w:eastAsia="Georgia" w:cs="Georgia" w:ascii="Georgia" w:hAnsi="Georgia"/>
        </w:rPr>
        <w:t xml:space="preserve"> et de la concentration en sortie du réacteur en régime permanent </w:t>
      </w:r>
      <m:oMath>
        <m:sSub>
          <m:sSubPr/>
          <m:e>
            <m:r>
              <m:rPr>
                <m:sty m:val="i"/>
              </m:rPr>
              <m:t>c</m:t>
            </m:r>
          </m:e>
          <m:sub>
            <m:r>
              <m:rPr>
                <m:sty m:val="p"/>
              </m:rPr>
              <m:t>s</m:t>
            </m:r>
            <m:r>
              <m:rPr>
                <m:nor/>
              </m:rPr>
              <m:t>,perm ainsi que du temps de passage dans le réacteur </m:t>
            </m:r>
          </m:sub>
        </m:sSub>
        <m:r>
          <m:rPr>
            <m:sty m:val="i"/>
          </m:rPr>
          <m:t>τ</m:t>
        </m:r>
      </m:oMath>
      <w:r>
        <w:rPr/>
        <w:t xml:space="preserve"> selon la relation :</w:t>
      </w:r>
    </w:p>
    <w:p>
      <w:pPr>
        <w:spacing w:after="220" w:lineRule="auto"/>
      </w:pPr>
      <m:oMathPara>
        <m:oMath>
          <m:r>
            <m:rPr>
              <m:sty m:val="i"/>
            </m:rPr>
            <m:t>v</m:t>
          </m:r>
          <m:r>
            <m:rPr>
              <m:sty m:val="p"/>
            </m:rPr>
            <m:t>=</m:t>
          </m:r>
          <m:f>
            <m:fPr>
              <m:ctrlPr>
                <w:rPr>
                  <w:rFonts w:ascii="Cambria Math" w:hAnsi="Cambria Math"/>
                </w:rPr>
              </m:ctrlPr>
            </m:fPr>
            <m:num>
              <m:sSub>
                <m:sSubPr/>
                <m:e>
                  <m:r>
                    <m:rPr>
                      <m:sty m:val="i"/>
                    </m:rPr>
                    <m:t>c</m:t>
                  </m:r>
                </m:e>
                <m:sub>
                  <m:r>
                    <m:rPr>
                      <m:sty m:val="p"/>
                    </m:rPr>
                    <m:t>e</m:t>
                  </m:r>
                </m:sub>
              </m:sSub>
              <m:r>
                <m:rPr>
                  <m:sty m:val="p"/>
                </m:rPr>
                <m:t>−</m:t>
              </m:r>
              <m:r>
                <m:rPr>
                  <m:sty m:val="p"/>
                </m:rPr>
                <m:t>2</m:t>
              </m:r>
              <m:sSub>
                <m:sSubPr/>
                <m:e>
                  <m:r>
                    <m:rPr>
                      <m:sty m:val="i"/>
                    </m:rPr>
                    <m:t>c</m:t>
                  </m:r>
                </m:e>
                <m:sub>
                  <m:r>
                    <m:rPr>
                      <m:sty m:val="p"/>
                    </m:rPr>
                    <m:t>s</m:t>
                  </m:r>
                  <m:r>
                    <m:rPr>
                      <m:sty m:val="p"/>
                    </m:rPr>
                    <m:t>,</m:t>
                  </m:r>
                  <m:r>
                    <m:rPr>
                      <m:sty m:val="p"/>
                    </m:rPr>
                    <m:t>perm</m:t>
                  </m:r>
                </m:sub>
              </m:sSub>
            </m:num>
            <m:den>
              <m:r>
                <m:rPr>
                  <m:sty m:val="p"/>
                </m:rPr>
                <m:t>2</m:t>
              </m:r>
              <m:r>
                <m:rPr>
                  <m:sty m:val="i"/>
                </m:rPr>
                <m:t>τ</m:t>
              </m:r>
            </m:den>
          </m:f>
        </m:oMath>
      </m:oMathPara>
    </w:p>
    <w:p>
      <w:pPr>
        <w:numPr>
          <w:ilvl w:val="0"/>
          <w:numId w:val="23"/>
        </w:numPr>
        <w:spacing w:lineRule="auto"/>
      </w:pPr>
      <w:r>
        <w:rPr>
          <w:rFonts w:eastAsia="Georgia" w:cs="Georgia" w:ascii="Georgia" w:hAnsi="Georgia"/>
        </w:rPr>
        <w:t xml:space="preserve">À l'aide du mode opératoire décrit dans le document 1 , exprimer la concentration d'entrée </w:t>
      </w:r>
      <m:oMath>
        <m:sSub>
          <m:sSubPr/>
          <m:e>
            <m:r>
              <m:rPr>
                <m:sty m:val="i"/>
              </m:rPr>
              <m:t>c</m:t>
            </m:r>
          </m:e>
          <m:sub>
            <m:r>
              <m:rPr>
                <m:sty m:val="p"/>
              </m:rPr>
              <m:t>e</m:t>
            </m:r>
          </m:sub>
        </m:sSub>
      </m:oMath>
      <w:r>
        <w:rPr>
          <w:rFonts w:eastAsia="Georgia" w:cs="Georgia" w:ascii="Georgia" w:hAnsi="Georgia"/>
        </w:rPr>
        <w:t xml:space="preserve"> en fonction de l'absorbance de la solution à </w:t>
      </w:r>
      <m:oMath>
        <m:r>
          <m:rPr>
            <m:sty m:val="i"/>
          </m:rPr>
          <m:t>t</m:t>
        </m:r>
        <m:r>
          <m:rPr>
            <m:sty m:val="p"/>
          </m:rPr>
          <m:t>=</m:t>
        </m:r>
        <m:r>
          <m:rPr>
            <m:sty m:val="p"/>
          </m:rPr>
          <m:t>0</m:t>
        </m:r>
      </m:oMath>
      <w:r>
        <w:rPr>
          <w:rFonts w:eastAsia="Georgia" w:cs="Georgia" w:ascii="Georgia" w:hAnsi="Georgia"/>
        </w:rPr>
        <w:t xml:space="preserve"> notée </w:t>
      </w:r>
      <m:oMath>
        <m:sSub>
          <m:sSubPr/>
          <m:e>
            <m:r>
              <m:rPr>
                <m:sty m:val="i"/>
              </m:rPr>
              <m:t>A</m:t>
            </m:r>
          </m:e>
          <m:sub>
            <m:r>
              <m:rPr>
                <m:sty m:val="p"/>
              </m:rPr>
              <m:t>0</m:t>
            </m:r>
          </m:sub>
        </m:sSub>
      </m:oMath>
      <w:r>
        <w:rPr>
          <w:rFonts w:eastAsia="Georgia" w:cs="Georgia" w:ascii="Georgia" w:hAnsi="Georgia"/>
        </w:rPr>
        <w:t xml:space="preserve">, de la largueur du réacteur </w:t>
      </w:r>
      <m:oMath>
        <m:r>
          <m:rPr>
            <m:sty m:val="i"/>
          </m:rPr>
          <m:t>l</m:t>
        </m:r>
      </m:oMath>
      <w:r>
        <w:rPr/>
        <w:t xml:space="preserve"> et du coefficient d'absorption molaire </w:t>
      </w:r>
      <m:oMath>
        <m:r>
          <m:rPr>
            <m:sty m:val="i"/>
          </m:rPr>
          <m:t>ε</m:t>
        </m:r>
      </m:oMath>
      <w:r>
        <w:rPr>
          <w:rFonts w:eastAsia="Georgia" w:cs="Georgia" w:ascii="Georgia" w:hAnsi="Georgia"/>
        </w:rPr>
        <w:t xml:space="preserve"> du colorant. Exprimer de même la concentration de sortie du réacteur </w:t>
      </w:r>
      <m:oMath>
        <m:sSub>
          <m:sSubPr/>
          <m:e>
            <m:r>
              <m:rPr>
                <m:sty m:val="i"/>
              </m:rPr>
              <m:t>c</m:t>
            </m:r>
          </m:e>
          <m:sub>
            <m:r>
              <m:rPr>
                <m:sty m:val="p"/>
              </m:rPr>
              <m:t>s</m:t>
            </m:r>
          </m:sub>
        </m:sSub>
      </m:oMath>
      <w:r>
        <w:rPr>
          <w:rFonts w:eastAsia="Georgia" w:cs="Georgia" w:ascii="Georgia" w:hAnsi="Georgia"/>
        </w:rPr>
        <w:t xml:space="preserve"> en fonction de l'absorbance de la solution dans le réacteur, notée </w:t>
      </w:r>
      <m:oMath>
        <m:r>
          <m:rPr>
            <m:sty m:val="i"/>
          </m:rPr>
          <m:t>A</m:t>
        </m:r>
      </m:oMath>
      <w:r>
        <w:rPr/>
        <w:t xml:space="preserve">.</w:t>
      </w:r>
    </w:p>
    <w:p>
      <w:pPr>
        <w:numPr>
          <w:ilvl w:val="0"/>
          <w:numId w:val="23"/>
        </w:numPr>
        <w:spacing w:lineRule="auto"/>
      </w:pPr>
      <w:r>
        <w:rPr>
          <w:rFonts w:eastAsia="Georgia" w:cs="Georgia" w:ascii="Georgia" w:hAnsi="Georgia"/>
        </w:rPr>
        <w:t xml:space="preserve">Exprimer alors la vitesse volumique de réaction </w:t>
      </w:r>
      <m:oMath>
        <m:r>
          <m:rPr>
            <m:sty m:val="i"/>
          </m:rPr>
          <m:t>v</m:t>
        </m:r>
      </m:oMath>
      <w:r>
        <w:rPr/>
        <w:t xml:space="preserve"> en fonction de l'absorbance initiale </w:t>
      </w:r>
      <m:oMath>
        <m:sSub>
          <m:sSubPr/>
          <m:e>
            <m:r>
              <m:rPr>
                <m:sty m:val="i"/>
              </m:rPr>
              <m:t>A</m:t>
            </m:r>
          </m:e>
          <m:sub>
            <m:r>
              <m:rPr>
                <m:sty m:val="p"/>
              </m:rPr>
              <m:t>0</m:t>
            </m:r>
          </m:sub>
        </m:sSub>
      </m:oMath>
      <w:r>
        <w:rPr>
          <w:rFonts w:eastAsia="Georgia" w:cs="Georgia" w:ascii="Georgia" w:hAnsi="Georgia"/>
        </w:rPr>
        <w:t xml:space="preserve">, de l'absorbance en régime permanent </w:t>
      </w:r>
      <m:oMath>
        <m:sSub>
          <m:sSubPr/>
          <m:e>
            <m:r>
              <m:rPr>
                <m:sty m:val="i"/>
              </m:rPr>
              <m:t>A</m:t>
            </m:r>
          </m:e>
          <m:sub>
            <m:r>
              <m:rPr>
                <m:nor/>
              </m:rPr>
              <m:t>perm </m:t>
            </m:r>
          </m:sub>
        </m:sSub>
      </m:oMath>
      <w:r>
        <w:rPr>
          <w:rFonts w:eastAsia="Georgia" w:cs="Georgia" w:ascii="Georgia" w:hAnsi="Georgia"/>
        </w:rPr>
        <w:t xml:space="preserve"> de la solution dans le réacteur et du temps de passage dans le réacteur </w:t>
      </w:r>
      <m:oMath>
        <m:r>
          <m:rPr>
            <m:sty m:val="i"/>
          </m:rPr>
          <m:t>τ</m:t>
        </m:r>
      </m:oMath>
      <w:r>
        <w:rPr/>
        <w:t xml:space="preserve">.</w:t>
      </w:r>
    </w:p>
    <w:p>
      <w:pPr>
        <w:numPr>
          <w:ilvl w:val="0"/>
          <w:numId w:val="23"/>
        </w:numPr>
        <w:spacing w:lineRule="auto"/>
      </w:pPr>
      <w:r>
        <w:rPr>
          <w:rFonts w:eastAsia="Georgia" w:cs="Georgia" w:ascii="Georgia" w:hAnsi="Georgia"/>
        </w:rPr>
        <w:t xml:space="preserve">Justifier que la concentration en hypochlorite peut être supposée constante et égale à la moitié de celle en entrée.</w:t>
      </w:r>
    </w:p>
    <w:p>
      <w:pPr>
        <w:spacing w:after="220" w:lineRule="auto"/>
      </w:pPr>
      <w:r>
        <w:rPr>
          <w:rFonts w:eastAsia="Georgia" w:cs="Georgia" w:ascii="Georgia" w:hAnsi="Georgia"/>
        </w:rPr>
        <w:t xml:space="preserve">La loi cinétique peut alors s'écrire comme :</w:t>
      </w:r>
    </w:p>
    <w:p>
      <w:pPr>
        <w:spacing w:after="220" w:lineRule="auto"/>
      </w:pPr>
      <m:oMathPara>
        <m:oMath>
          <m:r>
            <m:rPr>
              <m:sty m:val="i"/>
            </m:rPr>
            <m:t>v</m:t>
          </m:r>
          <m:r>
            <m:rPr>
              <m:sty m:val="p"/>
            </m:rPr>
            <m:t>=</m:t>
          </m:r>
          <m:r>
            <m:rPr>
              <m:sty m:val="i"/>
            </m:rPr>
            <m:t>k</m:t>
          </m:r>
          <m:r>
            <m:rPr>
              <m:sty m:val="p"/>
            </m:rPr>
            <m:t>[</m:t>
          </m:r>
          <m:r>
            <m:rPr>
              <m:nor/>
            </m:rPr>
            <m:t> colorant </m:t>
          </m:r>
          <m:sSup>
            <m:sSupPr/>
            <m:e>
              <m:r>
                <m:rPr>
                  <m:sty m:val="p"/>
                </m:rPr>
                <m:t>]</m:t>
              </m:r>
            </m:e>
            <m:sup>
              <m:r>
                <m:rPr>
                  <m:sty m:val="i"/>
                </m:rPr>
                <m:t>α</m:t>
              </m:r>
            </m:sup>
          </m:sSup>
          <m:sSup>
            <m:sSupPr/>
            <m:e>
              <m:d>
                <m:dPr>
                  <m:begChr m:val="["/>
                  <m:endChr m:val="]"/>
                  <m:ctrlPr>
                    <w:rPr>
                      <w:rFonts w:ascii="Cambria Math" w:hAnsi="Cambria Math"/>
                    </w:rPr>
                  </m:ctrlPr>
                </m:dPr>
                <m:e>
                  <m:sSup>
                    <m:sSupPr/>
                    <m:e>
                      <m:r>
                        <m:rPr>
                          <m:sty m:val="p"/>
                        </m:rPr>
                        <m:t>ClO</m:t>
                      </m:r>
                    </m:e>
                    <m:sup>
                      <m:r>
                        <m:rPr>
                          <m:sty m:val="p"/>
                        </m:rPr>
                        <m:t>−</m:t>
                      </m:r>
                    </m:sup>
                  </m:sSup>
                </m:e>
              </m:d>
            </m:e>
            <m:sup>
              <m:r>
                <m:rPr>
                  <m:sty m:val="i"/>
                </m:rPr>
                <m:t>β</m:t>
              </m:r>
            </m:sup>
          </m:sSup>
          <m:r>
            <m:rPr>
              <m:sty m:val="p"/>
            </m:rPr>
            <m:t>=</m:t>
          </m:r>
          <m:sSub>
            <m:sSubPr/>
            <m:e>
              <m:r>
                <m:rPr>
                  <m:sty m:val="i"/>
                </m:rPr>
                <m:t>k</m:t>
              </m:r>
            </m:e>
            <m:sub>
              <m:r>
                <m:rPr>
                  <m:nor/>
                </m:rPr>
                <m:t>app </m:t>
              </m:r>
            </m:sub>
          </m:sSub>
          <m:r>
            <m:rPr>
              <m:sty m:val="p"/>
            </m:rPr>
            <m:t>[</m:t>
          </m:r>
          <m:r>
            <m:rPr>
              <m:nor/>
            </m:rPr>
            <m:t> colorant </m:t>
          </m:r>
          <m:sSup>
            <m:sSupPr/>
            <m:e>
              <m:r>
                <m:rPr>
                  <m:sty m:val="p"/>
                </m:rPr>
                <m:t>]</m:t>
              </m:r>
            </m:e>
            <m:sup>
              <m:r>
                <m:rPr>
                  <m:sty m:val="i"/>
                </m:rPr>
                <m:t>α</m:t>
              </m:r>
            </m:sup>
          </m:sSup>
        </m:oMath>
      </m:oMathPara>
    </w:p>
    <w:p>
      <w:pPr>
        <w:spacing w:after="220" w:lineRule="auto"/>
      </w:pPr>
      <w:r>
        <w:rPr>
          <w:rFonts w:eastAsia="Georgia" w:cs="Georgia" w:ascii="Georgia" w:hAnsi="Georgia"/>
        </w:rPr>
        <w:t xml:space="preserve">où </w:t>
      </w:r>
      <m:oMath>
        <m:r>
          <m:rPr>
            <m:sty m:val="i"/>
          </m:rPr>
          <m:t>α</m:t>
        </m:r>
      </m:oMath>
      <w:r>
        <w:rPr/>
        <w:t xml:space="preserve"> est l'ordre partiel par rapport au colorant et </w:t>
      </w:r>
      <m:oMath>
        <m:r>
          <m:rPr>
            <m:sty m:val="i"/>
          </m:rPr>
          <m:t>β</m:t>
        </m:r>
      </m:oMath>
      <w:r>
        <w:rPr/>
        <w:t xml:space="preserve"> l'ordre partiel par rapport aux ions hypochlorite.</w:t>
      </w:r>
      <w:r>
        <w:rPr/>
        <w:br w:type="textWrapping"/>
      </w:r>
      <w:r>
        <w:rPr>
          <w:rFonts w:eastAsia="Georgia" w:cs="Georgia" w:ascii="Georgia" w:hAnsi="Georgia"/>
        </w:rPr>
        <w:t xml:space="preserve">27. Montrer en utilisant l'équation obtenue à la question (25) que si l'ordre partiel par rapport au colorant est nul, l'aborbance en régime permanent </w:t>
      </w:r>
      <m:oMath>
        <m:sSub>
          <m:sSubPr/>
          <m:e>
            <m:r>
              <m:rPr>
                <m:sty m:val="i"/>
              </m:rPr>
              <m:t>A</m:t>
            </m:r>
          </m:e>
          <m:sub>
            <m:r>
              <m:rPr>
                <m:nor/>
              </m:rPr>
              <m:t>perm vérifie l'équation (3). </m:t>
            </m:r>
          </m:sub>
        </m:sSub>
      </m:oMath>
    </w:p>
    <w:p>
      <w:pPr>
        <w:spacing w:after="220" w:lineRule="auto"/>
      </w:pPr>
      <m:oMathPara>
        <m:oMath>
          <m:sSub>
            <m:sSubPr/>
            <m:e>
              <m:r>
                <m:rPr>
                  <m:sty m:val="i"/>
                </m:rPr>
                <m:t>A</m:t>
              </m:r>
            </m:e>
            <m:sub>
              <m:r>
                <m:rPr>
                  <m:nor/>
                </m:rPr>
                <m:t>perm </m:t>
              </m:r>
            </m:sub>
          </m:sSub>
          <m:r>
            <m:rPr>
              <m:sty m:val="p"/>
            </m:rPr>
            <m:t>=</m:t>
          </m:r>
          <m:sSub>
            <m:sSubPr/>
            <m:e>
              <m:r>
                <m:rPr>
                  <m:sty m:val="i"/>
                </m:rPr>
                <m:t>A</m:t>
              </m:r>
            </m:e>
            <m:sub>
              <m:r>
                <m:rPr>
                  <m:sty m:val="p"/>
                </m:rPr>
                <m:t>0</m:t>
              </m:r>
            </m:sub>
          </m:sSub>
          <m:r>
            <m:rPr>
              <m:sty m:val="p"/>
            </m:rPr>
            <m:t>−</m:t>
          </m:r>
          <m:sSup>
            <m:sSupPr/>
            <m:e>
              <m:r>
                <m:rPr>
                  <m:sty m:val="i"/>
                </m:rPr>
                <m:t>k</m:t>
              </m:r>
            </m:e>
            <m:sup>
              <m:r>
                <m:rPr>
                  <m:sty m:val="i"/>
                </m:rPr>
                <m:t>′</m:t>
              </m:r>
            </m:sup>
          </m:sSup>
          <m:r>
            <m:rPr>
              <m:sty m:val="i"/>
            </m:rPr>
            <m:t>τ</m:t>
          </m:r>
        </m:oMath>
      </m:oMathPara>
    </w:p>
    <w:p>
      <w:pPr>
        <w:spacing w:after="220" w:lineRule="auto"/>
      </w:pPr>
      <w:r>
        <w:rPr>
          <w:rFonts w:eastAsia="Georgia" w:cs="Georgia" w:ascii="Georgia" w:hAnsi="Georgia"/>
        </w:rPr>
        <w:t xml:space="preserve">où on exprimera </w:t>
      </w:r>
      <m:oMath>
        <m:sSup>
          <m:sSupPr/>
          <m:e>
            <m:r>
              <m:rPr>
                <m:sty m:val="i"/>
              </m:rPr>
              <m:t>k</m:t>
            </m:r>
          </m:e>
          <m:sup>
            <m:r>
              <m:rPr>
                <m:sty m:val="i"/>
              </m:rPr>
              <m:t>′</m:t>
            </m:r>
          </m:sup>
        </m:sSup>
      </m:oMath>
      <w:r>
        <w:rPr/>
        <w:t xml:space="preserve"> en fonction de </w:t>
      </w:r>
      <m:oMath>
        <m:sSub>
          <m:sSubPr/>
          <m:e>
            <m:r>
              <m:rPr>
                <m:sty m:val="i"/>
              </m:rPr>
              <m:t>k</m:t>
            </m:r>
          </m:e>
          <m:sub>
            <m:r>
              <m:rPr>
                <m:sty m:val="p"/>
              </m:rPr>
              <m:t>app</m:t>
            </m:r>
          </m:sub>
        </m:sSub>
      </m:oMath>
      <w:r>
        <w:rPr/>
        <w:t xml:space="preserve">.</w:t>
      </w:r>
      <w:r>
        <w:rPr/>
        <w:br w:type="textWrapping"/>
      </w:r>
      <w:r>
        <w:rPr>
          <w:rFonts w:eastAsia="Georgia" w:cs="Georgia" w:ascii="Georgia" w:hAnsi="Georgia"/>
        </w:rPr>
        <w:t xml:space="preserve">28. Montrer, en utilisant l'équation obtenue à la question (25), que si la réaction est d'ordre un par rapport au colorant, l'absorbance en régime permanent vérifie l'équation (4).</w:t>
      </w:r>
    </w:p>
    <w:p>
      <w:pPr>
        <w:spacing w:after="220" w:lineRule="auto"/>
      </w:pPr>
      <m:oMathPara>
        <m:oMath>
          <m:f>
            <m:fPr>
              <m:ctrlPr>
                <w:rPr>
                  <w:rFonts w:ascii="Cambria Math" w:hAnsi="Cambria Math"/>
                </w:rPr>
              </m:ctrlPr>
            </m:fPr>
            <m:num>
              <m:sSub>
                <m:sSubPr/>
                <m:e>
                  <m:r>
                    <m:rPr>
                      <m:sty m:val="i"/>
                    </m:rPr>
                    <m:t>A</m:t>
                  </m:r>
                </m:e>
                <m:sub>
                  <m:r>
                    <m:rPr>
                      <m:sty m:val="p"/>
                    </m:rPr>
                    <m:t>0</m:t>
                  </m:r>
                </m:sub>
              </m:sSub>
            </m:num>
            <m:den>
              <m:sSub>
                <m:sSubPr/>
                <m:e>
                  <m:r>
                    <m:rPr>
                      <m:sty m:val="i"/>
                    </m:rPr>
                    <m:t>A</m:t>
                  </m:r>
                </m:e>
                <m:sub>
                  <m:r>
                    <m:rPr>
                      <m:nor/>
                    </m:rPr>
                    <m:t>perm </m:t>
                  </m:r>
                </m:sub>
              </m:sSub>
            </m:den>
          </m:f>
          <m:r>
            <m:rPr>
              <m:sty m:val="p"/>
            </m:rPr>
            <m:t>=</m:t>
          </m:r>
          <m:r>
            <m:rPr>
              <m:sty m:val="p"/>
            </m:rPr>
            <m:t>1</m:t>
          </m:r>
          <m:r>
            <m:rPr>
              <m:sty m:val="p"/>
            </m:rPr>
            <m:t>+</m:t>
          </m:r>
          <m:sSub>
            <m:sSubPr/>
            <m:e>
              <m:r>
                <m:rPr>
                  <m:sty m:val="i"/>
                </m:rPr>
                <m:t>k</m:t>
              </m:r>
            </m:e>
            <m:sub>
              <m:r>
                <m:rPr>
                  <m:nor/>
                </m:rPr>
                <m:t>app </m:t>
              </m:r>
            </m:sub>
          </m:sSub>
          <m:r>
            <m:rPr>
              <m:sty m:val="i"/>
            </m:rPr>
            <m:t>τ</m:t>
          </m:r>
        </m:oMath>
      </m:oMathPara>
    </w:p>
    <w:p>
      <w:pPr>
        <w:spacing w:after="220" w:lineRule="auto"/>
      </w:pPr>
      <w:r>
        <w:rPr>
          <w:rFonts w:eastAsia="Georgia" w:cs="Georgia" w:ascii="Georgia" w:hAnsi="Georgia"/>
        </w:rPr>
        <w:t xml:space="preserve">Les tracés de </w:t>
      </w:r>
      <m:oMath>
        <m:sSub>
          <m:sSubPr/>
          <m:e>
            <m:r>
              <m:rPr>
                <m:sty m:val="i"/>
              </m:rPr>
              <m:t>A</m:t>
            </m:r>
          </m:e>
          <m:sub>
            <m:r>
              <m:rPr>
                <m:sty m:val="p"/>
              </m:rPr>
              <m:t>0</m:t>
            </m:r>
          </m:sub>
        </m:sSub>
        <m:r>
          <m:rPr>
            <m:sty m:val="p"/>
          </m:rPr>
          <m:t>−</m:t>
        </m:r>
        <m:sSub>
          <m:sSubPr/>
          <m:e>
            <m:r>
              <m:rPr>
                <m:sty m:val="i"/>
              </m:rPr>
              <m:t>A</m:t>
            </m:r>
          </m:e>
          <m:sub>
            <m:r>
              <m:rPr>
                <m:nor/>
              </m:rPr>
              <m:t>perm </m:t>
            </m:r>
          </m:sub>
        </m:sSub>
      </m:oMath>
      <w:r>
        <w:rPr/>
        <w:t xml:space="preserve"> et de </w:t>
      </w:r>
      <m:oMath>
        <m:f>
          <m:fPr>
            <m:ctrlPr>
              <w:rPr>
                <w:rFonts w:ascii="Cambria Math" w:hAnsi="Cambria Math"/>
              </w:rPr>
            </m:ctrlPr>
          </m:fPr>
          <m:num>
            <m:sSub>
              <m:sSubPr/>
              <m:e>
                <m:r>
                  <m:rPr>
                    <m:sty m:val="i"/>
                  </m:rPr>
                  <m:t>A</m:t>
                </m:r>
              </m:e>
              <m:sub>
                <m:r>
                  <m:rPr>
                    <m:sty m:val="p"/>
                  </m:rPr>
                  <m:t>0</m:t>
                </m:r>
              </m:sub>
            </m:sSub>
          </m:num>
          <m:den>
            <m:sSub>
              <m:sSubPr/>
              <m:e>
                <m:r>
                  <m:rPr>
                    <m:sty m:val="i"/>
                  </m:rPr>
                  <m:t>A</m:t>
                </m:r>
              </m:e>
              <m:sub>
                <m:r>
                  <m:rPr>
                    <m:nor/>
                  </m:rPr>
                  <m:t>perm </m:t>
                </m:r>
              </m:sub>
            </m:sSub>
          </m:den>
        </m:f>
        <m:r>
          <m:rPr>
            <m:sty m:val="p"/>
          </m:rPr>
          <m:t>−</m:t>
        </m:r>
        <m:r>
          <m:rPr>
            <m:sty m:val="p"/>
          </m:rPr>
          <m:t>1</m:t>
        </m:r>
      </m:oMath>
      <w:r>
        <w:rPr/>
        <w:t xml:space="preserve"> en fonction du temps de passage </w:t>
      </w:r>
      <m:oMath>
        <m:r>
          <m:rPr>
            <m:sty m:val="i"/>
          </m:rPr>
          <m:t>τ</m:t>
        </m:r>
      </m:oMath>
      <w:r>
        <w:rPr>
          <w:rFonts w:eastAsia="Georgia" w:cs="Georgia" w:ascii="Georgia" w:hAnsi="Georgia"/>
        </w:rPr>
        <w:t xml:space="preserve"> pour les trois expériences décrites dans le tableau (2) sont données respectivement sur la figure (5) et sur la figure (6), ainsi que les équations de la régression linéaire du type </w:t>
      </w:r>
      <m:oMath>
        <m:r>
          <m:rPr>
            <m:sty m:val="i"/>
          </m:rPr>
          <m:t>y</m:t>
        </m:r>
        <m:r>
          <m:rPr>
            <m:sty m:val="p"/>
          </m:rPr>
          <m:t>=</m:t>
        </m:r>
        <m:r>
          <m:rPr>
            <m:sty m:val="i"/>
          </m:rPr>
          <m:t>a</m:t>
        </m:r>
        <m:r>
          <m:rPr>
            <m:sty m:val="i"/>
          </m:rPr>
          <m:t>x</m:t>
        </m:r>
      </m:oMath>
      <w:r>
        <w:rPr/>
        <w:t xml:space="preserve">.</w:t>
      </w:r>
    </w:p>
    <w:p>
      <w:pPr>
        <w:spacing w:lineRule="auto"/>
        <w:jc w:val="center"/>
      </w:pPr>
      <w:r>
        <w:rPr/>
        <w:drawing>
          <wp:inline distB="0" distL="0" distR="0" distT="0">
            <wp:extent cx="5486400" cy="3196642"/>
            <wp:effectExtent b="0" l="0" r="0" t="0"/>
            <wp:docPr id="12" name="image-fcba36de964f09db902af8d277426f0700759c3f.jpg"/>
            <a:graphic>
              <a:graphicData uri="http://schemas.openxmlformats.org/drawingml/2006/picture">
                <pic:pic>
                  <pic:nvPicPr>
                    <pic:cNvPr id="12" name="image-fcba36de964f09db902af8d277426f0700759c3f.jpg" descr=""/>
                    <pic:cNvPicPr/>
                  </pic:nvPicPr>
                  <pic:blipFill>
                    <a:blip r:embed="rId16" cstate="print"/>
                    <a:srcRect b="0" l="0" r="0" t="0"/>
                    <a:stretch>
                      <a:fillRect/>
                    </a:stretch>
                  </pic:blipFill>
                  <pic:spPr>
                    <a:xfrm>
                      <a:off x="0" y="0"/>
                      <a:ext cx="5486400" cy="3196642"/>
                    </a:xfrm>
                    <a:prstGeom prst="rect"/>
                  </pic:spPr>
                </pic:pic>
              </a:graphicData>
            </a:graphic>
          </wp:inline>
        </w:drawing>
      </w:r>
    </w:p>
    <w:p>
      <w:pPr>
        <w:spacing w:lineRule="auto"/>
      </w:pPr>
      <w:r>
        <w:rPr>
          <w:rFonts w:eastAsia="Georgia" w:cs="Georgia" w:ascii="Georgia" w:hAnsi="Georgia"/>
        </w:rPr>
        <w:t xml:space="preserve">Figure 5 - Évolution de </w:t>
      </w:r>
      <m:oMath>
        <m:sSub>
          <m:sSubPr/>
          <m:e>
            <m:r>
              <m:rPr>
                <m:sty m:val="i"/>
              </m:rPr>
              <m:t>A</m:t>
            </m:r>
          </m:e>
          <m:sub>
            <m:r>
              <m:rPr>
                <m:sty m:val="p"/>
              </m:rPr>
              <m:t>0</m:t>
            </m:r>
          </m:sub>
        </m:sSub>
        <m:r>
          <m:rPr>
            <m:sty m:val="p"/>
          </m:rPr>
          <m:t>−</m:t>
        </m:r>
        <m:sSub>
          <m:sSubPr/>
          <m:e>
            <m:r>
              <m:rPr>
                <m:sty m:val="i"/>
              </m:rPr>
              <m:t>A</m:t>
            </m:r>
          </m:e>
          <m:sub>
            <m:r>
              <m:rPr>
                <m:nor/>
              </m:rPr>
              <m:t>perm </m:t>
            </m:r>
          </m:sub>
        </m:sSub>
      </m:oMath>
      <w:r>
        <w:rPr>
          <w:rFonts w:eastAsia="Georgia" w:cs="Georgia" w:ascii="Georgia" w:hAnsi="Georgia"/>
        </w:rPr>
        <w:t xml:space="preserve"> pour les trois expériences en fonction du temps de passage.</w:t>
      </w:r>
    </w:p>
    <w:p>
      <w:pPr>
        <w:spacing w:lineRule="auto"/>
        <w:jc w:val="center"/>
      </w:pPr>
      <w:r>
        <w:rPr/>
        <w:drawing>
          <wp:inline distB="0" distL="0" distR="0" distT="0">
            <wp:extent cx="5486400" cy="3312255"/>
            <wp:effectExtent b="0" l="0" r="0" t="0"/>
            <wp:docPr id="13" name="image-03b46b9977ad083424fa94d5256c42f68c582090.jpg"/>
            <a:graphic>
              <a:graphicData uri="http://schemas.openxmlformats.org/drawingml/2006/picture">
                <pic:pic>
                  <pic:nvPicPr>
                    <pic:cNvPr id="13" name="image-03b46b9977ad083424fa94d5256c42f68c582090.jpg" descr=""/>
                    <pic:cNvPicPr/>
                  </pic:nvPicPr>
                  <pic:blipFill>
                    <a:blip r:embed="rId17" cstate="print"/>
                    <a:srcRect b="0" l="0" r="0" t="0"/>
                    <a:stretch>
                      <a:fillRect/>
                    </a:stretch>
                  </pic:blipFill>
                  <pic:spPr>
                    <a:xfrm>
                      <a:off x="0" y="0"/>
                      <a:ext cx="5486400" cy="3312255"/>
                    </a:xfrm>
                    <a:prstGeom prst="rect"/>
                  </pic:spPr>
                </pic:pic>
              </a:graphicData>
            </a:graphic>
          </wp:inline>
        </w:drawing>
      </w:r>
    </w:p>
    <w:p>
      <w:pPr>
        <w:spacing w:lineRule="auto"/>
      </w:pPr>
      <w:r>
        <w:rPr>
          <w:rFonts w:eastAsia="Georgia" w:cs="Georgia" w:ascii="Georgia" w:hAnsi="Georgia"/>
        </w:rPr>
        <w:t xml:space="preserve">FIGURE 6 - Évolution de </w:t>
      </w:r>
      <m:oMath>
        <m:f>
          <m:fPr>
            <m:ctrlPr>
              <w:rPr>
                <w:rFonts w:ascii="Cambria Math" w:hAnsi="Cambria Math"/>
              </w:rPr>
            </m:ctrlPr>
          </m:fPr>
          <m:num>
            <m:sSub>
              <m:sSubPr/>
              <m:e>
                <m:r>
                  <m:rPr>
                    <m:sty m:val="i"/>
                  </m:rPr>
                  <m:t>A</m:t>
                </m:r>
              </m:e>
              <m:sub>
                <m:r>
                  <m:rPr>
                    <m:sty m:val="p"/>
                  </m:rPr>
                  <m:t>0</m:t>
                </m:r>
              </m:sub>
            </m:sSub>
          </m:num>
          <m:den>
            <m:sSub>
              <m:sSubPr/>
              <m:e>
                <m:r>
                  <m:rPr>
                    <m:sty m:val="i"/>
                  </m:rPr>
                  <m:t>A</m:t>
                </m:r>
              </m:e>
              <m:sub>
                <m:r>
                  <m:rPr>
                    <m:nor/>
                  </m:rPr>
                  <m:t>perm </m:t>
                </m:r>
              </m:sub>
            </m:sSub>
          </m:den>
        </m:f>
        <m:r>
          <m:rPr>
            <m:sty m:val="p"/>
          </m:rPr>
          <m:t>−</m:t>
        </m:r>
        <m:r>
          <m:rPr>
            <m:sty m:val="p"/>
          </m:rPr>
          <m:t>1</m:t>
        </m:r>
      </m:oMath>
      <w:r>
        <w:rPr>
          <w:rFonts w:eastAsia="Georgia" w:cs="Georgia" w:ascii="Georgia" w:hAnsi="Georgia"/>
        </w:rPr>
        <w:t xml:space="preserve"> pour les trois expériences en fonction du temps de passage.</w:t>
      </w:r>
    </w:p>
    <w:p>
      <w:pPr>
        <w:numPr>
          <w:ilvl w:val="0"/>
          <w:numId w:val="24"/>
        </w:numPr>
        <w:spacing w:lineRule="auto"/>
      </w:pPr>
      <w:r>
        <w:rPr>
          <w:rFonts w:eastAsia="Georgia" w:cs="Georgia" w:ascii="Georgia" w:hAnsi="Georgia"/>
        </w:rPr>
        <w:t xml:space="preserve">En déduire l'ordre partiel par rapport au colorant et déterminer la constante cinétique apparente </w:t>
      </w:r>
      <m:oMath>
        <m:sSub>
          <m:sSubPr/>
          <m:e>
            <m:r>
              <m:rPr>
                <m:sty m:val="i"/>
              </m:rPr>
              <m:t>k</m:t>
            </m:r>
          </m:e>
          <m:sub>
            <m:r>
              <m:rPr>
                <m:nor/>
              </m:rPr>
              <m:t>app </m:t>
            </m:r>
          </m:sub>
        </m:sSub>
      </m:oMath>
      <w:r>
        <w:rPr>
          <w:rFonts w:eastAsia="Georgia" w:cs="Georgia" w:ascii="Georgia" w:hAnsi="Georgia"/>
        </w:rPr>
        <w:t xml:space="preserve"> de la réaction de décoloration.</w:t>
      </w:r>
    </w:p>
    <w:p>
      <w:pPr>
        <w:numPr>
          <w:ilvl w:val="0"/>
          <w:numId w:val="24"/>
        </w:numPr>
        <w:spacing w:lineRule="auto"/>
      </w:pPr>
      <w:r>
        <w:rPr>
          <w:rFonts w:eastAsia="Georgia" w:cs="Georgia" w:ascii="Georgia" w:hAnsi="Georgia"/>
        </w:rPr>
        <w:t xml:space="preserve">Proposer un protocole reposant sur la détermination de plusieurs constantes cinétiques apparentes </w:t>
      </w:r>
      <m:oMath>
        <m:sSub>
          <m:sSubPr/>
          <m:e>
            <m:r>
              <m:rPr>
                <m:sty m:val="i"/>
              </m:rPr>
              <m:t>k</m:t>
            </m:r>
          </m:e>
          <m:sub>
            <m:r>
              <m:rPr>
                <m:nor/>
              </m:rPr>
              <m:t>app </m:t>
            </m:r>
          </m:sub>
        </m:sSub>
      </m:oMath>
      <w:r>
        <w:rPr>
          <w:rFonts w:eastAsia="Georgia" w:cs="Georgia" w:ascii="Georgia" w:hAnsi="Georgia"/>
        </w:rPr>
        <w:t xml:space="preserve"> permettant de vérifier que l'ordre partiel par rapport aux ions hypochlorite est de un.</w:t>
      </w:r>
    </w:p>
    <w:p>
      <w:pPr>
        <w:spacing w:line="271" w:before="330" w:lineRule="auto"/>
      </w:pPr>
      <w:r>
        <w:rPr>
          <w:b/>
          <w:sz w:val="42"/>
        </w:rPr>
        <w:t xml:space="preserve">4 Utilisation de l'hypochlorite de sodium en chimie organique.</w:t>
      </w:r>
    </w:p>
    <w:p>
      <w:pPr>
        <w:spacing w:after="220" w:lineRule="auto"/>
      </w:pPr>
      <w:r>
        <w:rPr>
          <w:rFonts w:eastAsia="Georgia" w:cs="Georgia" w:ascii="Georgia" w:hAnsi="Georgia"/>
        </w:rPr>
        <w:t xml:space="preserve">Les solutions aqueuses d'hypochlorite de sodium sont également utilisées pour effectuer l'oxydation des alcools en dérivés carbonylés. Cependant, elles souffrent de plusieurs inconvénients d'un point de vue industriel :</w:t>
      </w:r>
    </w:p>
    <w:p>
      <w:pPr>
        <w:numPr>
          <w:ilvl w:val="0"/>
          <w:numId w:val="25"/>
        </w:numPr>
        <w:spacing w:lineRule="auto"/>
      </w:pPr>
      <w:r>
        <w:rPr/>
        <w:t xml:space="preserve">la concentration massique est de l'ordre de </w:t>
      </w:r>
      <m:oMath>
        <m:r>
          <m:rPr>
            <m:sty m:val="p"/>
          </m:rPr>
          <m:t>13</m:t>
        </m:r>
        <m:r>
          <m:rPr>
            <m:sty m:val="p"/>
          </m:rPr>
          <m:t>,</m:t>
        </m:r>
        <m:r>
          <m:rPr>
            <m:sty m:val="p"/>
          </m:rPr>
          <m:t>6</m:t>
        </m:r>
        <m:r>
          <m:rPr>
            <m:sty m:val="p"/>
          </m:rPr>
          <m:t>%</m:t>
        </m:r>
      </m:oMath>
      <w:r>
        <w:rPr/>
        <w:t xml:space="preserve">;</w:t>
      </w:r>
    </w:p>
    <w:p>
      <w:pPr>
        <w:numPr>
          <w:ilvl w:val="0"/>
          <w:numId w:val="25"/>
        </w:numPr>
        <w:spacing w:lineRule="auto"/>
      </w:pPr>
      <w:r>
        <w:rPr>
          <w:rFonts w:eastAsia="Georgia" w:cs="Georgia" w:ascii="Georgia" w:hAnsi="Georgia"/>
        </w:rPr>
        <w:t xml:space="preserve">elles sont métastables à température ambiante, même dans une enceinte réfrigérée où elles perdent </w:t>
      </w:r>
      <m:oMath>
        <m:r>
          <m:rPr>
            <m:sty m:val="p"/>
          </m:rPr>
          <m:t>20</m:t>
        </m:r>
        <m:r>
          <m:rPr>
            <m:sty m:val="p"/>
          </m:rPr>
          <m:t>%</m:t>
        </m:r>
      </m:oMath>
      <w:r>
        <w:rPr/>
        <w:t xml:space="preserve"> de leur concentration environ en un an;</w:t>
      </w:r>
    </w:p>
    <w:p>
      <w:pPr>
        <w:numPr>
          <w:ilvl w:val="0"/>
          <w:numId w:val="25"/>
        </w:numPr>
        <w:spacing w:lineRule="auto"/>
      </w:pPr>
      <w:r>
        <w:rPr>
          <w:rFonts w:eastAsia="Georgia" w:cs="Georgia" w:ascii="Georgia" w:hAnsi="Georgia"/>
        </w:rPr>
        <w:t xml:space="preserve">la cinétique d'oxydation est lente et il faut abaisser le pH de la solution vers 8-9 pour accélérer la réaction.</w:t>
      </w:r>
    </w:p>
    <w:p>
      <w:pPr>
        <w:numPr>
          <w:ilvl w:val="0"/>
          <w:numId w:val="26"/>
        </w:numPr>
        <w:spacing w:lineRule="auto"/>
      </w:pPr>
      <w:r>
        <w:rPr>
          <w:rFonts w:eastAsia="Georgia" w:cs="Georgia" w:ascii="Georgia" w:hAnsi="Georgia"/>
        </w:rPr>
        <w:t xml:space="preserve">Expliquer en quoi ces propriétés sont des inconvénients d'un point de vue industriel.</w:t>
      </w:r>
    </w:p>
    <w:p>
      <w:pPr>
        <w:numPr>
          <w:ilvl w:val="0"/>
          <w:numId w:val="26"/>
        </w:numPr>
        <w:spacing w:lineRule="auto"/>
      </w:pPr>
      <w:r>
        <w:rPr>
          <w:rFonts w:eastAsia="Georgia" w:cs="Georgia" w:ascii="Georgia" w:hAnsi="Georgia"/>
        </w:rPr>
        <w:t xml:space="preserve">Expliquer pourquoi la conservation dans une enceinte réfrigérée permet de conserver plus longtemps les solutions d'hypochlorite de sodium.</w:t>
      </w:r>
    </w:p>
    <w:p>
      <w:pPr>
        <w:spacing w:after="220" w:lineRule="auto"/>
      </w:pPr>
      <w:r>
        <w:rPr>
          <w:rFonts w:eastAsia="Georgia" w:cs="Georgia" w:ascii="Georgia" w:hAnsi="Georgia"/>
        </w:rPr>
        <w:t xml:space="preserve">Pour éviter ces inconvénients, l'utilisation directe du cristal de </w:t>
      </w:r>
      <m:oMath>
        <m:r>
          <m:rPr>
            <m:sty m:val="p"/>
          </m:rPr>
          <m:t>NaClO</m:t>
        </m:r>
        <m:r>
          <m:rPr>
            <m:sty m:val="p"/>
          </m:rPr>
          <m:t>⋅</m:t>
        </m:r>
        <m:r>
          <m:rPr>
            <m:sty m:val="p"/>
          </m:rPr>
          <m:t>5</m:t>
        </m:r>
        <m:sSub>
          <m:sSubPr/>
          <m:e>
            <m:r>
              <m:rPr>
                <m:sty m:val="p"/>
              </m:rPr>
              <m:t>H</m:t>
            </m:r>
          </m:e>
          <m:sub>
            <m:r>
              <m:rPr>
                <m:sty m:val="p"/>
              </m:rPr>
              <m:t>2</m:t>
            </m:r>
          </m:sub>
        </m:sSub>
        <m:r>
          <m:rPr>
            <m:sty m:val="p"/>
          </m:rPr>
          <m:t>O</m:t>
        </m:r>
      </m:oMath>
      <w:r>
        <w:rPr>
          <w:rFonts w:eastAsia="Georgia" w:cs="Georgia" w:ascii="Georgia" w:hAnsi="Georgia"/>
        </w:rPr>
        <w:t xml:space="preserve"> plutôt que des solutions aqueuses d'hypochlorite de sodium a été récemment étudiée. Les résultats obtenus sont donnés dans les documents suivants.</w:t>
      </w:r>
    </w:p>
    <w:p>
      <w:pPr>
        <w:spacing w:line="271" w:before="330" w:lineRule="auto"/>
      </w:pPr>
      <w:r>
        <w:rPr>
          <w:rFonts w:eastAsia="Georgia" w:cs="Georgia" w:ascii="Georgia" w:hAnsi="Georgia"/>
          <w:b/>
          <w:sz w:val="42"/>
        </w:rPr>
        <w:t xml:space="preserve">Document 2 - Caractéristiques et stabilité de </w:t>
      </w:r>
      <m:oMath>
        <m:r>
          <m:rPr>
            <m:sty m:val="b"/>
          </m:rPr>
          <w:rPr>
            <w:sz w:val="42"/>
          </w:rPr>
          <m:t>N</m:t>
        </m:r>
        <m:r>
          <m:rPr>
            <m:sty m:val="b"/>
          </m:rPr>
          <w:rPr>
            <w:sz w:val="42"/>
          </w:rPr>
          <m:t>a</m:t>
        </m:r>
        <m:r>
          <m:rPr>
            <m:sty m:val="b"/>
          </m:rPr>
          <w:rPr>
            <w:sz w:val="42"/>
          </w:rPr>
          <m:t>C</m:t>
        </m:r>
        <m:r>
          <m:rPr>
            <m:sty m:val="b"/>
          </m:rPr>
          <w:rPr>
            <w:sz w:val="42"/>
          </w:rPr>
          <m:t>l</m:t>
        </m:r>
        <m:r>
          <m:rPr>
            <m:sty m:val="b"/>
          </m:rPr>
          <w:rPr>
            <w:sz w:val="42"/>
          </w:rPr>
          <m:t>O</m:t>
        </m:r>
        <m:r>
          <m:rPr>
            <m:sty m:val="p"/>
          </m:rPr>
          <w:rPr>
            <w:sz w:val="42"/>
          </w:rPr>
          <m:t>⋅</m:t>
        </m:r>
        <m:r>
          <m:rPr>
            <m:sty m:val="b"/>
          </m:rPr>
          <w:rPr>
            <w:sz w:val="42"/>
          </w:rPr>
          <m:t>5</m:t>
        </m:r>
        <m:sSub>
          <m:sSubPr>
            <m:ctrlPr>
              <w:rPr>
                <w:rFonts w:ascii="Cambria Math" w:hAnsi="Cambria Math"/>
                <w:sz w:val="42"/>
              </w:rPr>
            </m:ctrlPr>
          </m:sSubPr>
          <m:e>
            <m:r>
              <m:rPr>
                <m:sty m:val="b"/>
              </m:rPr>
              <w:rPr>
                <w:sz w:val="42"/>
              </w:rPr>
              <m:t>H</m:t>
            </m:r>
          </m:e>
          <m:sub>
            <m:r>
              <m:rPr>
                <m:sty m:val="p"/>
              </m:rPr>
              <w:rPr>
                <w:sz w:val="42"/>
              </w:rPr>
              <m:t>2</m:t>
            </m:r>
          </m:sub>
        </m:sSub>
        <m:r>
          <m:rPr>
            <m:sty m:val="b"/>
          </m:rPr>
          <w:rPr>
            <w:sz w:val="42"/>
          </w:rPr>
          <m:t>O</m:t>
        </m:r>
      </m:oMath>
      <w:r>
        <w:rPr>
          <w:b/>
          <w:sz w:val="42"/>
        </w:rPr>
        <w:t xml:space="preserve">.</w:t>
      </w:r>
    </w:p>
    <w:p>
      <w:pPr>
        <w:spacing w:after="220" w:lineRule="auto"/>
      </w:pPr>
      <w:r>
        <w:rPr>
          <w:rFonts w:eastAsia="Georgia" w:cs="Georgia" w:ascii="Georgia" w:hAnsi="Georgia"/>
        </w:rPr>
        <w:t xml:space="preserve">Le document 2.a donne les propriétés des cristaux synthétisés alors que les documents 2.b et 2.c nous renseignent sur la stabilité thermique du composé.</w:t>
      </w:r>
    </w:p>
    <w:tbl>
      <w:tblPr>
        <w:tblStyle w:val="TableGrid"/>
        <w:jc w:val="center"/>
        <w:tblCellSpacing w:w="0" w:type="dxa"/>
        <w:tblBorders/>
        <w:tblCellMar>
          <w:top w:type="dxa" w:w="80"/>
          <w:left w:type="dxa" w:w="160"/>
          <w:bottom w:type="dxa" w:w="80"/>
          <w:right w:type="dxa" w:w="160"/>
        </w:tblCellMar>
      </w:tblPr>
      <w:tblGrid>
        <w:gridCol w:w="4320"/>
        <w:gridCol w:w="4320"/>
      </w:tblGrid>
      <w:tr>
        <w:trPr>
          <w:cantSplit/>
        </w:trPr>
        <w:tc>
          <w:tcPr>
            <w:tcBorders/>
            <w:vAlign w:val="center"/>
          </w:tcPr>
          <w:p>
            <w:pPr>
              <w:spacing w:lineRule="auto"/>
              <w:jc w:val="left"/>
            </w:pPr>
            <w:r>
              <w:rPr>
                <w:rFonts w:eastAsia="Georgia" w:cs="Georgia" w:ascii="Georgia" w:hAnsi="Georgia"/>
              </w:rPr>
              <w:t xml:space="preserve">Température de fusion</w:t>
            </w:r>
          </w:p>
        </w:tc>
        <w:tc>
          <w:tcPr>
            <w:tcBorders/>
            <w:vAlign w:val="center"/>
          </w:tcPr>
          <w:p>
            <w:pPr>
              <w:spacing w:lineRule="auto"/>
              <w:jc w:val="left"/>
            </w:pPr>
            <m:oMathPara>
              <m:oMathParaPr>
                <m:jc m:val="left"/>
              </m:oMathParaPr>
              <m:oMath>
                <m:r>
                  <m:rPr>
                    <m:sty m:val="p"/>
                  </m:rPr>
                  <m:t>25</m:t>
                </m:r>
                <m:r>
                  <m:rPr>
                    <m:sty m:val="p"/>
                  </m:rPr>
                  <m:t>−</m:t>
                </m:r>
                <m:sSup>
                  <m:sSupPr/>
                  <m:e>
                    <m:r>
                      <m:rPr>
                        <m:sty m:val="p"/>
                      </m:rPr>
                      <m:t>27</m:t>
                    </m:r>
                  </m:e>
                  <m:sup>
                    <m:r>
                      <m:rPr>
                        <m:sty m:val="p"/>
                      </m:rPr>
                      <m:t>∘</m:t>
                    </m:r>
                  </m:sup>
                </m:sSup>
                <m:r>
                  <m:rPr>
                    <m:sty m:val="p"/>
                  </m:rPr>
                  <m:t>C</m:t>
                </m:r>
              </m:oMath>
            </m:oMathPara>
          </w:p>
        </w:tc>
      </w:tr>
      <w:tr>
        <w:trPr>
          <w:cantSplit/>
        </w:trPr>
        <w:tc>
          <w:tcPr>
            <w:tcBorders/>
            <w:vAlign w:val="center"/>
          </w:tcPr>
          <w:p>
            <w:pPr>
              <w:spacing w:lineRule="auto"/>
              <w:jc w:val="left"/>
            </w:pPr>
            <w:r>
              <w:rPr/>
              <w:t xml:space="preserve">Fraction massique NaOH</w:t>
            </w:r>
          </w:p>
        </w:tc>
        <w:tc>
          <w:tcPr>
            <w:tcBorders/>
            <w:vAlign w:val="center"/>
          </w:tcPr>
          <w:p>
            <w:pPr>
              <w:spacing w:lineRule="auto"/>
              <w:jc w:val="left"/>
            </w:pPr>
            <m:oMathPara>
              <m:oMathParaPr>
                <m:jc m:val="left"/>
              </m:oMathParaPr>
              <m:oMath>
                <m:r>
                  <m:rPr>
                    <m:sty m:val="p"/>
                  </m:rPr>
                  <m:t>0</m:t>
                </m:r>
                <m:r>
                  <m:rPr>
                    <m:sty m:val="p"/>
                  </m:rPr>
                  <m:t>,</m:t>
                </m:r>
                <m:r>
                  <m:rPr>
                    <m:sty m:val="p"/>
                  </m:rPr>
                  <m:t>04</m:t>
                </m:r>
                <m:r>
                  <m:rPr>
                    <m:sty m:val="p"/>
                  </m:rPr>
                  <m:t>−</m:t>
                </m:r>
                <m:r>
                  <m:rPr>
                    <m:sty m:val="p"/>
                  </m:rPr>
                  <m:t>0</m:t>
                </m:r>
                <m:r>
                  <m:rPr>
                    <m:sty m:val="p"/>
                  </m:rPr>
                  <m:t>,</m:t>
                </m:r>
                <m:r>
                  <m:rPr>
                    <m:sty m:val="p"/>
                  </m:rPr>
                  <m:t>08</m:t>
                </m:r>
                <m:r>
                  <m:rPr>
                    <m:sty m:val="p"/>
                  </m:rPr>
                  <m:t>%</m:t>
                </m:r>
              </m:oMath>
            </m:oMathPara>
          </w:p>
        </w:tc>
      </w:tr>
      <w:tr>
        <w:trPr>
          <w:cantSplit/>
        </w:trPr>
        <w:tc>
          <w:tcPr>
            <w:tcBorders/>
            <w:vAlign w:val="center"/>
          </w:tcPr>
          <w:p>
            <w:pPr>
              <w:spacing w:lineRule="auto"/>
              <w:jc w:val="left"/>
            </w:pPr>
            <w:r>
              <w:rPr/>
              <w:t xml:space="preserve">Fraction massique NaCl</w:t>
            </w:r>
          </w:p>
        </w:tc>
        <w:tc>
          <w:tcPr>
            <w:tcBorders/>
            <w:vAlign w:val="center"/>
          </w:tcPr>
          <w:p>
            <w:pPr>
              <w:spacing w:lineRule="auto"/>
              <w:jc w:val="left"/>
            </w:pPr>
            <m:oMathPara>
              <m:oMathParaPr>
                <m:jc m:val="left"/>
              </m:oMathParaPr>
              <m:oMath>
                <m:r>
                  <m:rPr>
                    <m:sty m:val="p"/>
                  </m:rPr>
                  <m:t>0</m:t>
                </m:r>
                <m:r>
                  <m:rPr>
                    <m:sty m:val="p"/>
                  </m:rPr>
                  <m:t>,</m:t>
                </m:r>
                <m:r>
                  <m:rPr>
                    <m:sty m:val="p"/>
                  </m:rPr>
                  <m:t>1</m:t>
                </m:r>
                <m:r>
                  <m:rPr>
                    <m:sty m:val="p"/>
                  </m:rPr>
                  <m:t>−</m:t>
                </m:r>
                <m:r>
                  <m:rPr>
                    <m:sty m:val="p"/>
                  </m:rPr>
                  <m:t>0</m:t>
                </m:r>
                <m:r>
                  <m:rPr>
                    <m:sty m:val="p"/>
                  </m:rPr>
                  <m:t>,</m:t>
                </m:r>
                <m:r>
                  <m:rPr>
                    <m:sty m:val="p"/>
                  </m:rPr>
                  <m:t>5</m:t>
                </m:r>
                <m:r>
                  <m:rPr>
                    <m:sty m:val="p"/>
                  </m:rPr>
                  <m:t>%</m:t>
                </m:r>
              </m:oMath>
            </m:oMathPara>
          </w:p>
        </w:tc>
      </w:tr>
      <w:tr>
        <w:trPr>
          <w:cantSplit/>
        </w:trPr>
        <w:tc>
          <w:tcPr>
            <w:tcBorders/>
            <w:vAlign w:val="center"/>
          </w:tcPr>
          <w:p>
            <w:pPr>
              <w:spacing w:lineRule="auto"/>
              <w:jc w:val="left"/>
            </w:pPr>
            <w:r>
              <w:rPr/>
              <w:t xml:space="preserve">pH solution aqueuse</w:t>
            </w:r>
          </w:p>
        </w:tc>
        <w:tc>
          <w:tcPr>
            <w:tcBorders/>
            <w:vAlign w:val="center"/>
          </w:tcPr>
          <w:p>
            <w:pPr>
              <w:spacing w:lineRule="auto"/>
              <w:jc w:val="left"/>
            </w:pPr>
            <m:oMathPara>
              <m:oMathParaPr>
                <m:jc m:val="left"/>
              </m:oMathParaPr>
              <m:oMath>
                <m:r>
                  <m:rPr>
                    <m:sty m:val="p"/>
                  </m:rPr>
                  <m:t>11</m:t>
                </m:r>
                <m:r>
                  <m:rPr>
                    <m:sty m:val="p"/>
                  </m:rPr>
                  <m:t>−</m:t>
                </m:r>
                <m:r>
                  <m:rPr>
                    <m:sty m:val="p"/>
                  </m:rPr>
                  <m:t>12</m:t>
                </m:r>
              </m:oMath>
            </m:oMathPara>
          </w:p>
        </w:tc>
      </w:tr>
    </w:tbl>
    <w:p>
      <w:pPr>
        <w:spacing w:lineRule="auto"/>
      </w:pPr>
    </w:p>
    <w:p>
      <w:pPr>
        <w:spacing w:after="220" w:lineRule="auto"/>
      </w:pPr>
      <w:r>
        <w:rPr>
          <w:rFonts w:eastAsia="Georgia" w:cs="Georgia" w:ascii="Georgia" w:hAnsi="Georgia"/>
        </w:rPr>
        <w:t xml:space="preserve">Document 2.a - Propriétés des cristaux de </w:t>
      </w:r>
      <m:oMath>
        <m:r>
          <m:rPr>
            <m:sty m:val="p"/>
          </m:rPr>
          <m:t>NaClO</m:t>
        </m:r>
        <m:r>
          <m:rPr>
            <m:sty m:val="p"/>
          </m:rPr>
          <m:t>⋅</m:t>
        </m:r>
        <m:r>
          <m:rPr>
            <m:sty m:val="p"/>
          </m:rPr>
          <m:t>5</m:t>
        </m:r>
        <m:sSub>
          <m:sSubPr/>
          <m:e>
            <m:r>
              <m:rPr>
                <m:sty m:val="p"/>
              </m:rPr>
              <m:t>H</m:t>
            </m:r>
          </m:e>
          <m:sub>
            <m:r>
              <m:rPr>
                <m:sty m:val="p"/>
              </m:rPr>
              <m:t>2</m:t>
            </m:r>
          </m:sub>
        </m:sSub>
        <m:r>
          <m:rPr>
            <m:sty m:val="p"/>
          </m:rPr>
          <m:t>O</m:t>
        </m:r>
      </m:oMath>
      <w:r>
        <w:rPr/>
        <w:t xml:space="preserve">.</w:t>
      </w:r>
    </w:p>
    <w:p>
      <w:pPr>
        <w:spacing w:lineRule="auto"/>
        <w:jc w:val="center"/>
      </w:pPr>
      <w:r>
        <w:rPr/>
        <w:drawing>
          <wp:inline distB="0" distL="0" distR="0" distT="0">
            <wp:extent cx="5486400" cy="1376815"/>
            <wp:effectExtent b="0" l="0" r="0" t="0"/>
            <wp:docPr id="14" name="image-f12bff332c15d4d82ddb6caf47d63cc044ef6d9c.jpg"/>
            <a:graphic>
              <a:graphicData uri="http://schemas.openxmlformats.org/drawingml/2006/picture">
                <pic:pic>
                  <pic:nvPicPr>
                    <pic:cNvPr id="14" name="image-f12bff332c15d4d82ddb6caf47d63cc044ef6d9c.jpg" descr=""/>
                    <pic:cNvPicPr/>
                  </pic:nvPicPr>
                  <pic:blipFill>
                    <a:blip r:embed="rId18" cstate="print"/>
                    <a:srcRect b="0" l="0" r="0" t="0"/>
                    <a:stretch>
                      <a:fillRect/>
                    </a:stretch>
                  </pic:blipFill>
                  <pic:spPr>
                    <a:xfrm>
                      <a:off x="0" y="0"/>
                      <a:ext cx="5486400" cy="1376815"/>
                    </a:xfrm>
                    <a:prstGeom prst="rect"/>
                  </pic:spPr>
                </pic:pic>
              </a:graphicData>
            </a:graphic>
          </wp:inline>
        </w:drawing>
      </w:r>
    </w:p>
    <w:p>
      <w:pPr>
        <w:spacing w:lineRule="auto"/>
      </w:pPr>
      <w:r>
        <w:rPr/>
        <w:t xml:space="preserve">NaOCl</w:t>
      </w:r>
    </w:p>
    <w:p>
      <w:pPr>
        <w:spacing w:after="220" w:lineRule="auto"/>
      </w:pPr>
      <w:r>
        <w:rPr>
          <w:rFonts w:eastAsia="Georgia" w:cs="Georgia" w:ascii="Georgia" w:hAnsi="Georgia"/>
        </w:rPr>
        <w:t xml:space="preserve">Document 2.b - Stabilité de </w:t>
      </w:r>
      <m:oMath>
        <m:r>
          <m:rPr>
            <m:sty m:val="p"/>
          </m:rPr>
          <m:t>NaClO</m:t>
        </m:r>
        <m:r>
          <m:rPr>
            <m:sty m:val="p"/>
          </m:rPr>
          <m:t>⋅</m:t>
        </m:r>
        <m:r>
          <m:rPr>
            <m:sty m:val="p"/>
          </m:rPr>
          <m:t>5</m:t>
        </m:r>
        <m:sSub>
          <m:sSubPr/>
          <m:e>
            <m:r>
              <m:rPr>
                <m:sty m:val="p"/>
              </m:rPr>
              <m:t>H</m:t>
            </m:r>
          </m:e>
          <m:sub>
            <m:r>
              <m:rPr>
                <m:sty m:val="p"/>
              </m:rPr>
              <m:t>2</m:t>
            </m:r>
          </m:sub>
        </m:sSub>
        <m:r>
          <m:rPr>
            <m:sty m:val="p"/>
          </m:rPr>
          <m:t>O</m:t>
        </m:r>
      </m:oMath>
      <w:r>
        <w:rPr>
          <w:rFonts w:eastAsia="Georgia" w:cs="Georgia" w:ascii="Georgia" w:hAnsi="Georgia"/>
        </w:rPr>
        <w:t xml:space="preserve"> et Document 2.c - Stabilité de </w:t>
      </w:r>
      <m:oMath>
        <m:r>
          <m:rPr>
            <m:sty m:val="p"/>
          </m:rPr>
          <m:t>NaClO</m:t>
        </m:r>
        <m:r>
          <m:rPr>
            <m:sty m:val="p"/>
          </m:rPr>
          <m:t>⋅</m:t>
        </m:r>
        <m:r>
          <m:rPr>
            <m:sty m:val="p"/>
          </m:rPr>
          <m:t>5</m:t>
        </m:r>
        <m:sSub>
          <m:sSubPr/>
          <m:e>
            <m:r>
              <m:rPr>
                <m:sty m:val="p"/>
              </m:rPr>
              <m:t>H</m:t>
            </m:r>
          </m:e>
          <m:sub>
            <m:r>
              <m:rPr>
                <m:sty m:val="p"/>
              </m:rPr>
              <m:t>2</m:t>
            </m:r>
          </m:sub>
        </m:sSub>
        <m:r>
          <m:rPr>
            <m:sty m:val="p"/>
          </m:rPr>
          <m:t>O</m:t>
        </m:r>
      </m:oMath>
      <w:r>
        <w:rPr>
          <w:rFonts w:eastAsia="Georgia" w:cs="Georgia" w:ascii="Georgia" w:hAnsi="Georgia"/>
        </w:rPr>
        <w:t xml:space="preserve"> à difféd'une solution aqueuse de NaClO à </w:t>
      </w:r>
      <m:oMath>
        <m:sSup>
          <m:sSupPr/>
          <m:e>
            <m:r>
              <m:rPr>
                <m:sty m:val="p"/>
              </m:rPr>
              <m:t>7</m:t>
            </m:r>
          </m:e>
          <m:sup>
            <m:r>
              <m:rPr>
                <m:sty m:val="p"/>
              </m:rPr>
              <m:t>∘</m:t>
            </m:r>
          </m:sup>
        </m:sSup>
        <m:r>
          <m:rPr>
            <m:sty m:val="p"/>
          </m:rPr>
          <m:t>C</m:t>
        </m:r>
      </m:oMath>
      <w:r>
        <w:rPr>
          <w:rFonts w:eastAsia="Georgia" w:cs="Georgia" w:ascii="Georgia" w:hAnsi="Georgia"/>
        </w:rPr>
        <w:t xml:space="preserve">. rentes températures.</w:t>
      </w:r>
    </w:p>
    <w:p>
      <w:pPr>
        <w:spacing w:line="271" w:before="330" w:lineRule="auto"/>
      </w:pPr>
      <w:r>
        <w:rPr>
          <w:rFonts w:eastAsia="Georgia" w:cs="Georgia" w:ascii="Georgia" w:hAnsi="Georgia"/>
          <w:b/>
          <w:sz w:val="42"/>
        </w:rPr>
        <w:t xml:space="preserve">Document 3 - Étude de l'oxydation de l'octan-2-ol.</w:t>
      </w:r>
    </w:p>
    <w:p>
      <w:pPr>
        <w:spacing w:after="220" w:lineRule="auto"/>
      </w:pPr>
      <w:r>
        <w:rPr>
          <w:rFonts w:eastAsia="Georgia" w:cs="Georgia" w:ascii="Georgia" w:hAnsi="Georgia"/>
        </w:rPr>
        <w:t xml:space="preserve">Différentes conditions opératoires ont été testées pour l'oxydation de l'octan-2-ol en octan-2-one.</w:t>
      </w:r>
      <w:r>
        <w:rPr/>
        <w:br w:type="textWrapping"/>
      </w:r>
    </w:p>
    <w:p>
      <w:pPr>
        <w:spacing w:lineRule="auto"/>
        <w:jc w:val="center"/>
      </w:pPr>
      <w:r>
        <w:rPr/>
        <w:drawing>
          <wp:inline distB="0" distL="0" distR="0" distT="0">
            <wp:extent cx="5486400" cy="925177"/>
            <wp:effectExtent b="0" l="0" r="0" t="0"/>
            <wp:docPr id="15" name="image-f4d8a24f8b6dbea78d42e18d7b6db608a0005fef.jpg"/>
            <a:graphic>
              <a:graphicData uri="http://schemas.openxmlformats.org/drawingml/2006/picture">
                <pic:pic>
                  <pic:nvPicPr>
                    <pic:cNvPr id="15" name="image-f4d8a24f8b6dbea78d42e18d7b6db608a0005fef.jpg" descr=""/>
                    <pic:cNvPicPr/>
                  </pic:nvPicPr>
                  <pic:blipFill>
                    <a:blip r:embed="rId19" cstate="print"/>
                    <a:srcRect b="0" l="0" r="0" t="0"/>
                    <a:stretch>
                      <a:fillRect/>
                    </a:stretch>
                  </pic:blipFill>
                  <pic:spPr>
                    <a:xfrm>
                      <a:off x="0" y="0"/>
                      <a:ext cx="5486400" cy="925177"/>
                    </a:xfrm>
                    <a:prstGeom prst="rect"/>
                  </pic:spPr>
                </pic:pic>
              </a:graphicData>
            </a:graphic>
          </wp:inline>
        </w:drawing>
      </w:r>
    </w:p>
    <w:p>
      <w:pPr>
        <w:spacing w:after="220" w:lineRule="auto"/>
      </w:pPr>
      <w:r>
        <w:rPr>
          <w:rFonts w:eastAsia="Georgia" w:cs="Georgia" w:ascii="Georgia" w:hAnsi="Georgia"/>
        </w:rPr>
        <w:t xml:space="preserve">Les différents rendements obtenus sont résumés sur le document 3.a.</w:t>
      </w:r>
    </w:p>
    <w:tbl>
      <w:tblPr>
        <w:tblStyle w:val="TableGrid"/>
        <w:jc w:val="center"/>
        <w:tblCellSpacing w:w="0" w:type="dxa"/>
        <w:tblBorders/>
        <w:tblCellMar>
          <w:top w:type="dxa" w:w="80"/>
          <w:left w:type="dxa" w:w="160"/>
          <w:bottom w:type="dxa" w:w="80"/>
          <w:right w:type="dxa" w:w="160"/>
        </w:tblCellMar>
      </w:tblPr>
      <w:tblGrid>
        <w:gridCol w:w="1728"/>
        <w:gridCol w:w="1728"/>
        <w:gridCol w:w="1728"/>
        <w:gridCol w:w="1728"/>
        <w:gridCol w:w="1728"/>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left"/>
            </w:pPr>
            <w:r>
              <w:rPr>
                <w:rFonts w:eastAsia="Georgia" w:cs="Georgia" w:ascii="Georgia" w:hAnsi="Georgia"/>
              </w:rPr>
              <w:t xml:space="preserve">Expérience</w:t>
            </w:r>
          </w:p>
        </w:tc>
        <w:tc>
          <w:tcPr>
            <w:tcBorders>
              <w:top w:val="single" w:sz="8" w:space="0" w:color="000000"/>
              <w:bottom w:val="single" w:sz="8" w:space="0" w:color="000000"/>
              <w:right w:val="single" w:sz="8" w:space="0" w:color="000000"/>
            </w:tcBorders>
            <w:vAlign w:val="center"/>
          </w:tcPr>
          <w:p>
            <w:pPr>
              <w:spacing w:lineRule="auto"/>
              <w:jc w:val="left"/>
            </w:pPr>
            <w:r>
              <w:rPr/>
              <w:t xml:space="preserve">NaClO</w:t>
            </w:r>
          </w:p>
        </w:tc>
        <w:tc>
          <w:tcPr>
            <w:tcBorders>
              <w:top w:val="single" w:sz="8" w:space="0" w:color="000000"/>
              <w:bottom w:val="single" w:sz="8" w:space="0" w:color="000000"/>
              <w:right w:val="single" w:sz="8" w:space="0" w:color="000000"/>
            </w:tcBorders>
            <w:vAlign w:val="center"/>
          </w:tcPr>
          <w:p>
            <w:pPr>
              <w:spacing w:lineRule="auto"/>
              <w:jc w:val="left"/>
            </w:pPr>
            <w:r>
              <w:rPr/>
              <w:t xml:space="preserve">Catalyseur</w:t>
            </w:r>
          </w:p>
        </w:tc>
        <w:tc>
          <w:tcPr>
            <w:tcBorders>
              <w:top w:val="single" w:sz="8" w:space="0" w:color="000000"/>
              <w:bottom w:val="single" w:sz="8" w:space="0" w:color="000000"/>
              <w:right w:val="single" w:sz="8" w:space="0" w:color="000000"/>
            </w:tcBorders>
            <w:vAlign w:val="center"/>
          </w:tcPr>
          <w:p>
            <w:pPr>
              <w:spacing w:lineRule="auto"/>
              <w:jc w:val="left"/>
            </w:pPr>
            <w:r>
              <w:rPr/>
              <w:t xml:space="preserve">Temps (h)</w:t>
            </w:r>
          </w:p>
        </w:tc>
        <w:tc>
          <w:tcPr>
            <w:tcBorders>
              <w:top w:val="single" w:sz="8" w:space="0" w:color="000000"/>
              <w:bottom w:val="single" w:sz="8" w:space="0" w:color="000000"/>
              <w:right w:val="single" w:sz="8" w:space="0" w:color="000000"/>
            </w:tcBorders>
            <w:vAlign w:val="center"/>
          </w:tcPr>
          <w:p>
            <w:pPr>
              <w:spacing w:lineRule="auto"/>
              <w:jc w:val="left"/>
            </w:pPr>
            <w:r>
              <w:rPr/>
              <w:t xml:space="preserve">Rendement (%)</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NaClO</m:t>
                </m:r>
                <m:r>
                  <m:rPr>
                    <m:sty m:val="p"/>
                  </m:rPr>
                  <m:t>⋅</m:t>
                </m:r>
                <m:r>
                  <m:rPr>
                    <m:sty m:val="p"/>
                  </m:rPr>
                  <m:t>5</m:t>
                </m:r>
                <m:sSub>
                  <m:sSubPr/>
                  <m:e>
                    <m:r>
                      <m:rPr>
                        <m:sty m:val="p"/>
                      </m:rPr>
                      <m:t>H</m:t>
                    </m:r>
                  </m:e>
                  <m:sub>
                    <m:r>
                      <m:rPr>
                        <m:sty m:val="p"/>
                      </m:rPr>
                      <m:t>2</m:t>
                    </m:r>
                  </m:sub>
                </m:sSub>
                <m:r>
                  <m:rPr>
                    <m:sty m:val="p"/>
                  </m:rPr>
                  <m:t>O</m:t>
                </m:r>
              </m:oMath>
            </m:oMathPara>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78</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m:oMath>
              <m:r>
                <m:rPr>
                  <m:sty m:val="p"/>
                </m:rPr>
                <m:t>13</m:t>
              </m:r>
              <m:r>
                <m:rPr>
                  <m:sty m:val="p"/>
                </m:rPr>
                <m:t>%</m:t>
              </m:r>
              <m:r>
                <m:rPr>
                  <m:sty m:val="p"/>
                </m:rPr>
                <m:t>NaClO</m:t>
              </m:r>
            </m:oMath>
            <w:r>
              <w:rPr/>
              <w:t xml:space="preserve"> aqueux</w:t>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w:r>
              <w:rPr/>
              <w:t xml:space="preserve">27</w:t>
            </w:r>
          </w:p>
        </w:tc>
        <w:tc>
          <w:tcPr>
            <w:tcBorders>
              <w:bottom w:val="single" w:sz="8" w:space="0" w:color="000000"/>
              <w:right w:val="single" w:sz="8" w:space="0" w:color="000000"/>
            </w:tcBorders>
            <w:vAlign w:val="center"/>
          </w:tcPr>
          <w:p>
            <w:pPr>
              <w:spacing w:lineRule="auto"/>
              <w:jc w:val="left"/>
            </w:pPr>
            <w:r>
              <w:rPr/>
              <w:t xml:space="preserve">9</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NaClO</m:t>
                </m:r>
                <m:r>
                  <m:rPr>
                    <m:sty m:val="p"/>
                  </m:rPr>
                  <m:t>⋅</m:t>
                </m:r>
                <m:r>
                  <m:rPr>
                    <m:sty m:val="p"/>
                  </m:rPr>
                  <m:t>5</m:t>
                </m:r>
                <m:sSub>
                  <m:sSubPr/>
                  <m:e>
                    <m:r>
                      <m:rPr>
                        <m:sty m:val="p"/>
                      </m:rPr>
                      <m:t>H</m:t>
                    </m:r>
                  </m:e>
                  <m:sub>
                    <m:r>
                      <m:rPr>
                        <m:sty m:val="p"/>
                      </m:rPr>
                      <m:t>2</m:t>
                    </m:r>
                  </m:sub>
                </m:sSub>
                <m:r>
                  <m:rPr>
                    <m:sty m:val="p"/>
                  </m:rPr>
                  <m:t>O</m:t>
                </m:r>
              </m:oMath>
            </m:oMathPara>
          </w:p>
        </w:tc>
        <w:tc>
          <w:tcPr>
            <w:tcBorders>
              <w:bottom w:val="single" w:sz="8" w:space="0" w:color="000000"/>
              <w:right w:val="single" w:sz="8" w:space="0" w:color="000000"/>
            </w:tcBorders>
            <w:vAlign w:val="center"/>
          </w:tcPr>
          <w:p>
            <w:pPr>
              <w:spacing w:lineRule="auto"/>
              <w:jc w:val="left"/>
            </w:pPr>
            <w:r>
              <w:rPr/>
              <w:t xml:space="preserve">TEMPO (1 %)</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97</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m:oMath>
              <m:r>
                <m:rPr>
                  <m:sty m:val="p"/>
                </m:rPr>
                <m:t>13</m:t>
              </m:r>
              <m:r>
                <m:rPr>
                  <m:sty m:val="p"/>
                </m:rPr>
                <m:t>%</m:t>
              </m:r>
              <m:r>
                <m:rPr>
                  <m:sty m:val="p"/>
                </m:rPr>
                <m:t>NaClO</m:t>
              </m:r>
            </m:oMath>
            <w:r>
              <w:rPr/>
              <w:t xml:space="preserve"> aqueux</w:t>
            </w:r>
          </w:p>
        </w:tc>
        <w:tc>
          <w:tcPr>
            <w:tcBorders>
              <w:bottom w:val="single" w:sz="8" w:space="0" w:color="000000"/>
              <w:right w:val="single" w:sz="8" w:space="0" w:color="000000"/>
            </w:tcBorders>
            <w:vAlign w:val="center"/>
          </w:tcPr>
          <w:p>
            <w:pPr>
              <w:spacing w:lineRule="auto"/>
              <w:jc w:val="left"/>
            </w:pPr>
            <w:r>
              <w:rPr/>
              <w:t xml:space="preserve">TEMPO (1 %)</w:t>
            </w:r>
          </w:p>
        </w:tc>
        <w:tc>
          <w:tcPr>
            <w:tcBorders>
              <w:bottom w:val="single" w:sz="8" w:space="0" w:color="000000"/>
              <w:right w:val="single" w:sz="8" w:space="0" w:color="000000"/>
            </w:tcBorders>
            <w:vAlign w:val="center"/>
          </w:tcPr>
          <w:p>
            <w:pPr>
              <w:spacing w:lineRule="auto"/>
              <w:jc w:val="left"/>
            </w:pPr>
            <w:r>
              <w:rPr/>
              <w:t xml:space="preserve">22</w:t>
            </w:r>
          </w:p>
        </w:tc>
        <w:tc>
          <w:tcPr>
            <w:tcBorders>
              <w:bottom w:val="single" w:sz="8" w:space="0" w:color="000000"/>
              <w:right w:val="single" w:sz="8" w:space="0" w:color="000000"/>
            </w:tcBorders>
            <w:vAlign w:val="center"/>
          </w:tcPr>
          <w:p>
            <w:pPr>
              <w:spacing w:lineRule="auto"/>
              <w:jc w:val="left"/>
            </w:pPr>
            <w:r>
              <w:rPr/>
              <w:t xml:space="preserve">11</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NaClO</m:t>
                </m:r>
                <m:r>
                  <m:rPr>
                    <m:sty m:val="p"/>
                  </m:rPr>
                  <m:t>⋅</m:t>
                </m:r>
                <m:r>
                  <m:rPr>
                    <m:sty m:val="p"/>
                  </m:rPr>
                  <m:t>5</m:t>
                </m:r>
                <m:sSub>
                  <m:sSubPr/>
                  <m:e>
                    <m:r>
                      <m:rPr>
                        <m:sty m:val="p"/>
                      </m:rPr>
                      <m:t>H</m:t>
                    </m:r>
                  </m:e>
                  <m:sub>
                    <m:r>
                      <m:rPr>
                        <m:sty m:val="p"/>
                      </m:rPr>
                      <m:t>2</m:t>
                    </m:r>
                  </m:sub>
                </m:sSub>
                <m:r>
                  <m:rPr>
                    <m:sty m:val="p"/>
                  </m:rPr>
                  <m:t>O</m:t>
                </m:r>
              </m:oMath>
            </m:oMathPara>
          </w:p>
        </w:tc>
        <w:tc>
          <w:tcPr>
            <w:tcBorders>
              <w:bottom w:val="single" w:sz="8" w:space="0" w:color="000000"/>
              <w:right w:val="single" w:sz="8" w:space="0" w:color="000000"/>
            </w:tcBorders>
            <w:vAlign w:val="center"/>
          </w:tcPr>
          <w:p>
            <w:pPr>
              <w:spacing w:lineRule="auto"/>
              <w:jc w:val="left"/>
            </w:pPr>
            <w:r>
              <w:rPr/>
              <w:t xml:space="preserve">1-Me-AZADO (1 %)</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100</w:t>
            </w: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m:oMath>
              <m:r>
                <m:rPr>
                  <m:sty m:val="p"/>
                </m:rPr>
                <m:t>13</m:t>
              </m:r>
              <m:r>
                <m:rPr>
                  <m:sty m:val="p"/>
                </m:rPr>
                <m:t>%</m:t>
              </m:r>
              <m:r>
                <m:rPr>
                  <m:sty m:val="p"/>
                </m:rPr>
                <m:t>NaClO</m:t>
              </m:r>
            </m:oMath>
            <w:r>
              <w:rPr/>
              <w:t xml:space="preserve"> aqueux</w:t>
            </w:r>
          </w:p>
        </w:tc>
        <w:tc>
          <w:tcPr>
            <w:tcBorders>
              <w:bottom w:val="single" w:sz="8" w:space="0" w:color="000000"/>
              <w:right w:val="single" w:sz="8" w:space="0" w:color="000000"/>
            </w:tcBorders>
            <w:vAlign w:val="center"/>
          </w:tcPr>
          <w:p>
            <w:pPr>
              <w:spacing w:lineRule="auto"/>
              <w:jc w:val="left"/>
            </w:pPr>
            <w:r>
              <w:rPr/>
              <w:t xml:space="preserve">1-Me-AZADO (1 %)</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99</w:t>
            </w:r>
          </w:p>
        </w:tc>
      </w:tr>
    </w:tbl>
    <w:p>
      <w:pPr>
        <w:spacing w:lineRule="auto"/>
      </w:pPr>
    </w:p>
    <w:p>
      <w:pPr>
        <w:spacing w:after="220" w:lineRule="auto"/>
      </w:pPr>
      <w:r>
        <w:rPr>
          <w:rFonts w:eastAsia="Georgia" w:cs="Georgia" w:ascii="Georgia" w:hAnsi="Georgia"/>
        </w:rPr>
        <w:t xml:space="preserve">Document 3.a - Rendements pour l'oxydation de l'octan-2-ol en octan-2-one pour différents catalyseurs.</w:t>
      </w:r>
    </w:p>
    <w:p>
      <w:pPr>
        <w:spacing w:after="220" w:lineRule="auto"/>
      </w:pPr>
      <w:r>
        <w:rPr>
          <w:rFonts w:eastAsia="Georgia" w:cs="Georgia" w:ascii="Georgia" w:hAnsi="Georgia"/>
        </w:rPr>
        <w:t xml:space="preserve">À partir de cette étude, il a été choisi de conduire les expériences suivantes avec 5% de </w:t>
      </w:r>
      <m:oMath>
        <m:sSub>
          <m:sSubPr/>
          <m:e>
            <m:r>
              <m:rPr>
                <m:sty m:val="p"/>
              </m:rPr>
              <m:t>Bu</m:t>
            </m:r>
          </m:e>
          <m:sub>
            <m:r>
              <m:rPr>
                <m:sty m:val="p"/>
              </m:rPr>
              <m:t>4</m:t>
            </m:r>
          </m:sub>
        </m:sSub>
        <m:sSub>
          <m:sSubPr/>
          <m:e>
            <m:r>
              <m:rPr>
                <m:sty m:val="p"/>
              </m:rPr>
              <m:t>NHSO</m:t>
            </m:r>
          </m:e>
          <m:sub>
            <m:r>
              <m:rPr>
                <m:sty m:val="p"/>
              </m:rPr>
              <m:t>4</m:t>
            </m:r>
          </m:sub>
        </m:sSub>
      </m:oMath>
      <w:r>
        <w:rPr/>
        <w:t xml:space="preserve"> et </w:t>
      </w:r>
      <m:oMath>
        <m:r>
          <m:rPr>
            <m:sty m:val="p"/>
          </m:rPr>
          <m:t>1</m:t>
        </m:r>
        <m:r>
          <m:rPr>
            <m:sty m:val="p"/>
          </m:rPr>
          <m:t>%</m:t>
        </m:r>
      </m:oMath>
      <w:r>
        <w:rPr>
          <w:rFonts w:eastAsia="Georgia" w:cs="Georgia" w:ascii="Georgia" w:hAnsi="Georgia"/>
        </w:rPr>
        <w:t xml:space="preserve"> de TEMPO. L'évolution temporelle du rendement en octan-2-one en fonction du temps a été mesurée pour une solution de l'octan-2-ol dans le dichlorométhane est donnée sur le document 3.b.</w:t>
      </w:r>
    </w:p>
    <w:p>
      <w:pPr>
        <w:spacing w:after="220" w:lineRule="auto"/>
      </w:pPr>
      <w:r>
        <w:rPr/>
        <w:t xml:space="preserve">DOCUMENT 3.b - Rendement en fonction du temps pour l'oxydation de l'octan-2-ol en octan-2-one par </w:t>
      </w:r>
      <m:oMath>
        <m:r>
          <m:rPr>
            <m:sty m:val="p"/>
          </m:rPr>
          <m:t>NaClO</m:t>
        </m:r>
        <m:r>
          <m:rPr>
            <m:sty m:val="p"/>
          </m:rPr>
          <m:t>⋅</m:t>
        </m:r>
        <m:r>
          <m:rPr>
            <m:sty m:val="p"/>
          </m:rPr>
          <m:t>5</m:t>
        </m:r>
        <m:sSub>
          <m:sSubPr/>
          <m:e>
            <m:r>
              <m:rPr>
                <m:sty m:val="p"/>
              </m:rPr>
              <m:t>H</m:t>
            </m:r>
          </m:e>
          <m:sub>
            <m:r>
              <m:rPr>
                <m:sty m:val="p"/>
              </m:rPr>
              <m:t>2</m:t>
            </m:r>
          </m:sub>
        </m:sSub>
        <m:r>
          <m:rPr>
            <m:sty m:val="p"/>
          </m:rPr>
          <m:t>O</m:t>
        </m:r>
      </m:oMath>
      <w:r>
        <w:rPr/>
        <w:t xml:space="preserve"> (cercle </w:t>
      </w:r>
      <m:oMath>
        <m:r>
          <m:rPr>
            <m:sty m:val="p"/>
          </m:rPr>
          <m:t>∘</m:t>
        </m:r>
      </m:oMath>
      <w:r>
        <w:rPr/>
        <w:t xml:space="preserve"> ), une solution aqueuse de </w:t>
      </w:r>
      <m:oMath>
        <m:r>
          <m:rPr>
            <m:sty m:val="p"/>
          </m:rPr>
          <m:t>NaClO</m:t>
        </m:r>
        <m:r>
          <m:rPr>
            <m:sty m:val="p"/>
          </m:rPr>
          <m:t>⋅</m:t>
        </m:r>
        <m:r>
          <m:rPr>
            <m:sty m:val="p"/>
          </m:rPr>
          <m:t>5</m:t>
        </m:r>
        <m:sSub>
          <m:sSubPr/>
          <m:e>
            <m:r>
              <m:rPr>
                <m:sty m:val="p"/>
              </m:rPr>
              <m:t>H</m:t>
            </m:r>
          </m:e>
          <m:sub>
            <m:r>
              <m:rPr>
                <m:sty m:val="p"/>
              </m:rPr>
              <m:t>2</m:t>
            </m:r>
          </m:sub>
        </m:sSub>
        <m:r>
          <m:rPr>
            <m:sty m:val="p"/>
          </m:rPr>
          <m:t>O</m:t>
        </m:r>
      </m:oMath>
      <w:r>
        <w:rPr>
          <w:rFonts w:eastAsia="Georgia" w:cs="Georgia" w:ascii="Georgia" w:hAnsi="Georgia"/>
        </w:rPr>
        <w:t xml:space="preserve"> à </w:t>
      </w:r>
      <m:oMath>
        <m:r>
          <m:rPr>
            <m:sty m:val="p"/>
          </m:rPr>
          <m:t>20</m:t>
        </m:r>
        <m:r>
          <m:rPr>
            <m:sty m:val="p"/>
          </m:rPr>
          <m:t>%</m:t>
        </m:r>
      </m:oMath>
      <w:r>
        <w:rPr>
          <w:rFonts w:eastAsia="Georgia" w:cs="Georgia" w:ascii="Georgia" w:hAnsi="Georgia"/>
        </w:rPr>
        <w:t xml:space="preserve"> (carré, </w:t>
      </w:r>
      <m:oMath>
        <m:r>
          <m:rPr>
            <m:sty m:val="i"/>
          </m:rPr>
          <m:t>◻</m:t>
        </m:r>
      </m:oMath>
      <w:r>
        <w:rPr>
          <w:rFonts w:eastAsia="Georgia" w:cs="Georgia" w:ascii="Georgia" w:hAnsi="Georgia"/>
        </w:rPr>
        <w:t xml:space="preserve"> ) et une solution aqueuse conventionnelle à </w:t>
      </w:r>
      <m:oMath>
        <m:r>
          <m:rPr>
            <m:sty m:val="p"/>
          </m:rPr>
          <m:t>13</m:t>
        </m:r>
        <m:r>
          <m:rPr>
            <m:sty m:val="p"/>
          </m:rPr>
          <m:t>%</m:t>
        </m:r>
      </m:oMath>
      <w:r>
        <w:rPr/>
        <w:t xml:space="preserve"> de </w:t>
      </w:r>
      <m:oMath>
        <m:r>
          <m:rPr>
            <m:sty m:val="p"/>
          </m:rPr>
          <m:t>NaClO</m:t>
        </m:r>
        <m:r>
          <m:rPr>
            <m:sty m:val="p"/>
          </m:rPr>
          <m:t>(</m:t>
        </m:r>
      </m:oMath>
      <w:r>
        <w:rPr/>
        <w:t xml:space="preserve"> croix, </w:t>
      </w:r>
      <m:oMath>
        <m:r>
          <m:rPr>
            <m:sty m:val="p"/>
          </m:rPr>
          <m:t>×</m:t>
        </m:r>
        <m:r>
          <m:rPr>
            <m:sty m:val="p"/>
          </m:rPr>
          <m:t>)</m:t>
        </m:r>
      </m:oMath>
      <w:r>
        <w:rPr/>
        <w:t xml:space="preserve">.</w:t>
      </w:r>
    </w:p>
    <w:p>
      <w:pPr>
        <w:spacing w:line="271" w:before="330" w:lineRule="auto"/>
      </w:pPr>
      <w:r>
        <w:rPr>
          <w:rFonts w:eastAsia="Georgia" w:cs="Georgia" w:ascii="Georgia" w:hAnsi="Georgia"/>
          <w:b/>
          <w:sz w:val="42"/>
        </w:rPr>
        <w:t xml:space="preserve">DOCUMENT 4 - Étude de l'oxydation de différents alcools primaires et secondaires.</w:t>
      </w:r>
    </w:p>
    <w:p>
      <w:pPr>
        <w:spacing w:after="220" w:lineRule="auto"/>
      </w:pPr>
      <w:r>
        <w:rPr>
          <w:rFonts w:eastAsia="Georgia" w:cs="Georgia" w:ascii="Georgia" w:hAnsi="Georgia"/>
        </w:rPr>
        <w:t xml:space="preserve">L'oxydation a été étudiée sur différents alcools primaires (document 4.a) et secondaires (document 4.b).</w:t>
      </w:r>
    </w:p>
    <w:tbl>
      <w:tblPr>
        <w:tblStyle w:val="TableGrid"/>
        <w:jc w:val="center"/>
        <w:tblCellSpacing w:w="0" w:type="dxa"/>
        <w:tblBorders/>
        <w:tblCellMar>
          <w:top w:type="dxa" w:w="80"/>
          <w:left w:type="dxa" w:w="160"/>
          <w:bottom w:type="dxa" w:w="80"/>
          <w:right w:type="dxa" w:w="160"/>
        </w:tblCellMar>
      </w:tblPr>
      <w:tblGrid>
        <w:gridCol w:w="1440"/>
        <w:gridCol w:w="1440"/>
        <w:gridCol w:w="1440"/>
        <w:gridCol w:w="1440"/>
        <w:gridCol w:w="1440"/>
        <w:gridCol w:w="1440"/>
      </w:tblGrid>
      <w:tr>
        <w:trPr>
          <w:cantSplit/>
        </w:trPr>
        <w:tc>
          <w:tcPr>
            <w:gridSpan w:val="6"/>
            <w:tcBorders>
              <w:top w:val="single" w:sz="8" w:space="0" w:color="000000"/>
              <w:left w:val="single" w:sz="8" w:space="0" w:color="000000"/>
              <w:bottom w:val="single" w:sz="8" w:space="0" w:color="000000"/>
              <w:right w:val="single" w:sz="8" w:space="0" w:color="000000"/>
            </w:tcBorders>
          </w:tcPr>
          <w:p>
            <w:pPr>
              <w:spacing w:lineRule="auto"/>
              <w:jc w:val="center"/>
            </w:pPr>
            <m:oMathPara>
              <m:oMathParaPr>
                <m:jc m:val="center"/>
              </m:oMathParaPr>
              <m:oMath>
                <m:sSub>
                  <m:sSubPr/>
                  <m:e>
                    <m:r>
                      <m:rPr>
                        <m:sty m:val="p"/>
                      </m:rPr>
                      <m:t>CH</m:t>
                    </m:r>
                  </m:e>
                  <m:sub>
                    <m:r>
                      <m:rPr>
                        <m:sty m:val="p"/>
                      </m:rPr>
                      <m:t>2</m:t>
                    </m:r>
                  </m:sub>
                </m:sSub>
                <m:sSub>
                  <m:sSubPr/>
                  <m:e>
                    <m:r>
                      <m:rPr>
                        <m:sty m:val="p"/>
                      </m:rPr>
                      <m:t>Cl</m:t>
                    </m:r>
                  </m:e>
                  <m:sub>
                    <m:r>
                      <m:rPr>
                        <m:sty m:val="p"/>
                      </m:rPr>
                      <m:t>2</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Alcool</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équiv. NaClO</w:t>
            </w:r>
          </w:p>
        </w:tc>
        <w:tc>
          <w:tcPr>
            <w:tcBorders>
              <w:bottom w:val="single" w:sz="8" w:space="0" w:color="000000"/>
              <w:right w:val="single" w:sz="8" w:space="0" w:color="000000"/>
            </w:tcBorders>
            <w:vAlign w:val="center"/>
          </w:tcPr>
          <w:p>
            <w:pPr>
              <w:spacing w:lineRule="auto"/>
              <w:jc w:val="left"/>
            </w:pPr>
            <m:oMath>
              <m:sSub>
                <m:sSubPr/>
                <m:e>
                  <m:r>
                    <m:rPr>
                      <m:sty m:val="p"/>
                    </m:rPr>
                    <m:t>CH</m:t>
                  </m:r>
                </m:e>
                <m:sub>
                  <m:r>
                    <m:rPr>
                      <m:sty m:val="p"/>
                    </m:rPr>
                    <m:t>2</m:t>
                  </m:r>
                </m:sub>
              </m:sSub>
              <m:sSub>
                <m:sSubPr/>
                <m:e>
                  <m:r>
                    <m:rPr>
                      <m:sty m:val="p"/>
                    </m:rPr>
                    <m:t>Cl</m:t>
                  </m:r>
                </m:e>
                <m:sub>
                  <m:r>
                    <m:rPr>
                      <m:sty m:val="p"/>
                    </m:rPr>
                    <m:t>2</m:t>
                  </m:r>
                </m:sub>
              </m:sSub>
            </m:oMath>
            <w:r>
              <w:rPr/>
              <w:t xml:space="preserve"> (mL)</w:t>
            </w:r>
          </w:p>
        </w:tc>
        <w:tc>
          <w:tcPr>
            <w:tcBorders>
              <w:bottom w:val="single" w:sz="8" w:space="0" w:color="000000"/>
              <w:right w:val="single" w:sz="8" w:space="0" w:color="000000"/>
            </w:tcBorders>
            <w:vAlign w:val="center"/>
          </w:tcPr>
          <w:p>
            <w:pPr>
              <w:spacing w:lineRule="auto"/>
              <w:jc w:val="left"/>
            </w:pPr>
            <w:r>
              <w:rPr/>
              <w:t xml:space="preserve">Temp. </w:t>
            </w:r>
            <m:oMath>
              <m:d>
                <m:dPr>
                  <m:begChr m:val="("/>
                  <m:endChr m:val=")"/>
                  <m:ctrlPr>
                    <w:rPr>
                      <w:rFonts w:ascii="Cambria Math" w:hAnsi="Cambria Math"/>
                    </w:rPr>
                  </m:ctrlPr>
                </m:dPr>
                <m:e>
                  <m:sSup>
                    <m:sSupPr/>
                    <m:e>
                      <m:r>
                        <m:t xml:space="preserve"> </m:t>
                      </m:r>
                    </m:e>
                    <m:sup>
                      <m:r>
                        <m:rPr>
                          <m:sty m:val="p"/>
                        </m:rPr>
                        <m:t>∘</m:t>
                      </m:r>
                    </m:sup>
                  </m:sSup>
                  <m:r>
                    <m:rPr>
                      <m:sty m:val="p"/>
                    </m:rPr>
                    <m:t>C</m:t>
                  </m:r>
                </m:e>
              </m:d>
            </m:oMath>
          </w:p>
        </w:tc>
        <w:tc>
          <w:tcPr>
            <w:tcBorders>
              <w:bottom w:val="single" w:sz="8" w:space="0" w:color="000000"/>
              <w:right w:val="single" w:sz="8" w:space="0" w:color="000000"/>
            </w:tcBorders>
            <w:vAlign w:val="center"/>
          </w:tcPr>
          <w:p>
            <w:pPr>
              <w:spacing w:lineRule="auto"/>
              <w:jc w:val="left"/>
            </w:pPr>
            <w:r>
              <w:rPr/>
              <w:t xml:space="preserve">Temps (h)</w:t>
            </w:r>
          </w:p>
        </w:tc>
        <w:tc>
          <w:tcPr>
            <w:tcBorders>
              <w:bottom w:val="single" w:sz="8" w:space="0" w:color="000000"/>
              <w:right w:val="single" w:sz="8" w:space="0" w:color="000000"/>
            </w:tcBorders>
            <w:vAlign w:val="center"/>
          </w:tcPr>
          <w:p>
            <w:pPr>
              <w:spacing w:lineRule="auto"/>
              <w:jc w:val="left"/>
            </w:pPr>
            <m:oMath>
              <m:r>
                <m:rPr>
                  <m:sty m:val="i"/>
                </m:rPr>
                <m:t>r</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323975" cy="552450"/>
                  <wp:effectExtent b="0" l="0" r="0" t="0"/>
                  <wp:docPr id="16" name="image-svg-d8f20eb462d0402b40558dc4c02d3a444bf561b7.svg"/>
                  <a:graphic>
                    <a:graphicData uri="http://schemas.openxmlformats.org/drawingml/2006/picture">
                      <pic:pic>
                        <pic:nvPicPr>
                          <pic:cNvPr id="16" name="image-svg-d8f20eb462d0402b40558dc4c02d3a444bf561b7.svg" descr=""/>
                          <pic:cNvPicPr/>
                        </pic:nvPicPr>
                        <pic:blipFill>
                          <a:blip r:embed="rId21" cstate="print">
                            <a:extLst>
                              <a:ext uri="">
                                <a14:useLocalDpi val="0"/>
                              </a:ext>
                              <a:ext uri="">
                                <asvg:svgBlip r:embed="rId20"/>
                              </a:ext>
                            </a:extLst>
                          </a:blip>
                          <a:srcRect b="0" l="0" r="0" t="0"/>
                          <a:stretch>
                            <a:fillRect/>
                          </a:stretch>
                        </pic:blipFill>
                        <pic:spPr>
                          <a:xfrm>
                            <a:off x="0" y="0"/>
                            <a:ext cx="1323975" cy="55245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91</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847850" cy="923925"/>
                  <wp:effectExtent b="0" l="0" r="0" t="0"/>
                  <wp:docPr id="18" name="image-svg-433df413822ec2170d8cfb7fdaf5ba7b6d59816b.svg"/>
                  <a:graphic>
                    <a:graphicData uri="http://schemas.openxmlformats.org/drawingml/2006/picture">
                      <pic:pic>
                        <pic:nvPicPr>
                          <pic:cNvPr id="18" name="image-svg-433df413822ec2170d8cfb7fdaf5ba7b6d59816b.svg" descr=""/>
                          <pic:cNvPicPr/>
                        </pic:nvPicPr>
                        <pic:blipFill>
                          <a:blip r:embed="rId23" cstate="print">
                            <a:extLst>
                              <a:ext uri="">
                                <a14:useLocalDpi val="0"/>
                              </a:ext>
                              <a:ext uri="">
                                <asvg:svgBlip r:embed="rId22"/>
                              </a:ext>
                            </a:extLst>
                          </a:blip>
                          <a:srcRect b="0" l="0" r="0" t="0"/>
                          <a:stretch>
                            <a:fillRect/>
                          </a:stretch>
                        </pic:blipFill>
                        <pic:spPr>
                          <a:xfrm>
                            <a:off x="0" y="0"/>
                            <a:ext cx="1847850" cy="9239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99</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2295525" cy="923925"/>
                  <wp:effectExtent b="0" l="0" r="0" t="0"/>
                  <wp:docPr id="20" name="image-svg-180486a367274ebec4ba537e820d10dc84003205.svg"/>
                  <a:graphic>
                    <a:graphicData uri="http://schemas.openxmlformats.org/drawingml/2006/picture">
                      <pic:pic>
                        <pic:nvPicPr>
                          <pic:cNvPr id="20" name="image-svg-180486a367274ebec4ba537e820d10dc84003205.svg" descr=""/>
                          <pic:cNvPicPr/>
                        </pic:nvPicPr>
                        <pic:blipFill>
                          <a:blip r:embed="rId25" cstate="print">
                            <a:extLst>
                              <a:ext uri="">
                                <a14:useLocalDpi val="0"/>
                              </a:ext>
                              <a:ext uri="">
                                <asvg:svgBlip r:embed="rId24"/>
                              </a:ext>
                            </a:extLst>
                          </a:blip>
                          <a:srcRect b="0" l="0" r="0" t="0"/>
                          <a:stretch>
                            <a:fillRect/>
                          </a:stretch>
                        </pic:blipFill>
                        <pic:spPr>
                          <a:xfrm>
                            <a:off x="0" y="0"/>
                            <a:ext cx="2295525" cy="9239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96</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2171700" cy="1143000"/>
                  <wp:effectExtent b="0" l="0" r="0" t="0"/>
                  <wp:docPr id="22" name="image-svg-e2828457b5d51fbefcfc4d670eb26dbc6f64182b.svg"/>
                  <a:graphic>
                    <a:graphicData uri="http://schemas.openxmlformats.org/drawingml/2006/picture">
                      <pic:pic>
                        <pic:nvPicPr>
                          <pic:cNvPr id="22" name="image-svg-e2828457b5d51fbefcfc4d670eb26dbc6f64182b.svg" descr=""/>
                          <pic:cNvPicPr/>
                        </pic:nvPicPr>
                        <pic:blipFill>
                          <a:blip r:embed="rId27" cstate="print">
                            <a:extLst>
                              <a:ext uri="">
                                <a14:useLocalDpi val="0"/>
                              </a:ext>
                              <a:ext uri="">
                                <asvg:svgBlip r:embed="rId26"/>
                              </a:ext>
                            </a:extLst>
                          </a:blip>
                          <a:srcRect b="0" l="0" r="0" t="0"/>
                          <a:stretch>
                            <a:fillRect/>
                          </a:stretch>
                        </pic:blipFill>
                        <pic:spPr>
                          <a:xfrm>
                            <a:off x="0" y="0"/>
                            <a:ext cx="2171700" cy="11430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1,2</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96</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2362200" cy="1000125"/>
                  <wp:effectExtent b="0" l="0" r="0" t="0"/>
                  <wp:docPr id="24" name="image-svg-c4f6c2d460681239a8bc6915e345dda992ad2ec5.svg"/>
                  <a:graphic>
                    <a:graphicData uri="http://schemas.openxmlformats.org/drawingml/2006/picture">
                      <pic:pic>
                        <pic:nvPicPr>
                          <pic:cNvPr id="24" name="image-svg-c4f6c2d460681239a8bc6915e345dda992ad2ec5.svg" descr=""/>
                          <pic:cNvPicPr/>
                        </pic:nvPicPr>
                        <pic:blipFill>
                          <a:blip r:embed="rId29" cstate="print">
                            <a:extLst>
                              <a:ext uri="">
                                <a14:useLocalDpi val="0"/>
                              </a:ext>
                              <a:ext uri="">
                                <asvg:svgBlip r:embed="rId28"/>
                              </a:ext>
                            </a:extLst>
                          </a:blip>
                          <a:srcRect b="0" l="0" r="0" t="0"/>
                          <a:stretch>
                            <a:fillRect/>
                          </a:stretch>
                        </pic:blipFill>
                        <pic:spPr>
                          <a:xfrm>
                            <a:off x="0" y="0"/>
                            <a:ext cx="2362200" cy="10001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1,4</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4</w:t>
            </w:r>
          </w:p>
        </w:tc>
        <w:tc>
          <w:tcPr>
            <w:tcBorders>
              <w:bottom w:val="single" w:sz="8" w:space="0" w:color="000000"/>
              <w:right w:val="single" w:sz="8" w:space="0" w:color="000000"/>
            </w:tcBorders>
            <w:vAlign w:val="center"/>
          </w:tcPr>
          <w:p>
            <w:pPr>
              <w:spacing w:lineRule="auto"/>
              <w:jc w:val="left"/>
            </w:pPr>
            <w:r>
              <w:rPr/>
              <w:t xml:space="preserve">67</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2152650" cy="923925"/>
                  <wp:effectExtent b="0" l="0" r="0" t="0"/>
                  <wp:docPr id="26" name="image-svg-52a5c664d78f60aea14ee5ec727034b7806ec62d.svg"/>
                  <a:graphic>
                    <a:graphicData uri="http://schemas.openxmlformats.org/drawingml/2006/picture">
                      <pic:pic>
                        <pic:nvPicPr>
                          <pic:cNvPr id="26" name="image-svg-52a5c664d78f60aea14ee5ec727034b7806ec62d.svg" descr=""/>
                          <pic:cNvPicPr/>
                        </pic:nvPicPr>
                        <pic:blipFill>
                          <a:blip r:embed="rId31" cstate="print">
                            <a:extLst>
                              <a:ext uri="">
                                <a14:useLocalDpi val="0"/>
                              </a:ext>
                              <a:ext uri="">
                                <asvg:svgBlip r:embed="rId30"/>
                              </a:ext>
                            </a:extLst>
                          </a:blip>
                          <a:srcRect b="0" l="0" r="0" t="0"/>
                          <a:stretch>
                            <a:fillRect/>
                          </a:stretch>
                        </pic:blipFill>
                        <pic:spPr>
                          <a:xfrm>
                            <a:off x="0" y="0"/>
                            <a:ext cx="2152650" cy="9239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93</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2362200" cy="1295400"/>
                  <wp:effectExtent b="0" l="0" r="0" t="0"/>
                  <wp:docPr id="28" name="image-svg-6d46e7d675dfe07691c34ba267f07e192f35e3c1.svg"/>
                  <a:graphic>
                    <a:graphicData uri="http://schemas.openxmlformats.org/drawingml/2006/picture">
                      <pic:pic>
                        <pic:nvPicPr>
                          <pic:cNvPr id="28" name="image-svg-6d46e7d675dfe07691c34ba267f07e192f35e3c1.svg" descr=""/>
                          <pic:cNvPicPr/>
                        </pic:nvPicPr>
                        <pic:blipFill>
                          <a:blip r:embed="rId33" cstate="print">
                            <a:extLst>
                              <a:ext uri="">
                                <a14:useLocalDpi val="0"/>
                              </a:ext>
                              <a:ext uri="">
                                <asvg:svgBlip r:embed="rId32"/>
                              </a:ext>
                            </a:extLst>
                          </a:blip>
                          <a:srcRect b="0" l="0" r="0" t="0"/>
                          <a:stretch>
                            <a:fillRect/>
                          </a:stretch>
                        </pic:blipFill>
                        <pic:spPr>
                          <a:xfrm>
                            <a:off x="0" y="0"/>
                            <a:ext cx="2362200" cy="12954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98</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847850" cy="923925"/>
                  <wp:effectExtent b="0" l="0" r="0" t="0"/>
                  <wp:docPr id="30" name="image-svg-3e83a8b39453b9bbca330880da06b88b764c6201.svg"/>
                  <a:graphic>
                    <a:graphicData uri="http://schemas.openxmlformats.org/drawingml/2006/picture">
                      <pic:pic>
                        <pic:nvPicPr>
                          <pic:cNvPr id="30" name="image-svg-3e83a8b39453b9bbca330880da06b88b764c6201.svg" descr=""/>
                          <pic:cNvPicPr/>
                        </pic:nvPicPr>
                        <pic:blipFill>
                          <a:blip r:embed="rId35" cstate="print">
                            <a:extLst>
                              <a:ext uri="">
                                <a14:useLocalDpi val="0"/>
                              </a:ext>
                              <a:ext uri="">
                                <asvg:svgBlip r:embed="rId34"/>
                              </a:ext>
                            </a:extLst>
                          </a:blip>
                          <a:srcRect b="0" l="0" r="0" t="0"/>
                          <a:stretch>
                            <a:fillRect/>
                          </a:stretch>
                        </pic:blipFill>
                        <pic:spPr>
                          <a:xfrm>
                            <a:off x="0" y="0"/>
                            <a:ext cx="1847850" cy="9239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94</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790700" cy="914400"/>
                  <wp:effectExtent b="0" l="0" r="0" t="0"/>
                  <wp:docPr id="32" name="image-svg-657d3245f41af5862a057ee43902e0f9d085809b.svg"/>
                  <a:graphic>
                    <a:graphicData uri="http://schemas.openxmlformats.org/drawingml/2006/picture">
                      <pic:pic>
                        <pic:nvPicPr>
                          <pic:cNvPr id="32" name="image-svg-657d3245f41af5862a057ee43902e0f9d085809b.svg" descr=""/>
                          <pic:cNvPicPr/>
                        </pic:nvPicPr>
                        <pic:blipFill>
                          <a:blip r:embed="rId37" cstate="print">
                            <a:extLst>
                              <a:ext uri="">
                                <a14:useLocalDpi val="0"/>
                              </a:ext>
                              <a:ext uri="">
                                <asvg:svgBlip r:embed="rId36"/>
                              </a:ext>
                            </a:extLst>
                          </a:blip>
                          <a:srcRect b="0" l="0" r="0" t="0"/>
                          <a:stretch>
                            <a:fillRect/>
                          </a:stretch>
                        </pic:blipFill>
                        <pic:spPr>
                          <a:xfrm>
                            <a:off x="0" y="0"/>
                            <a:ext cx="1790700" cy="9144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1,1</w:t>
            </w:r>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3</w:t>
            </w:r>
          </w:p>
        </w:tc>
        <w:tc>
          <w:tcPr>
            <w:tcBorders>
              <w:bottom w:val="single" w:sz="8" w:space="0" w:color="000000"/>
              <w:right w:val="single" w:sz="8" w:space="0" w:color="000000"/>
            </w:tcBorders>
            <w:vAlign w:val="center"/>
          </w:tcPr>
          <w:p>
            <w:pPr>
              <w:spacing w:lineRule="auto"/>
              <w:jc w:val="left"/>
            </w:pPr>
            <w:r>
              <w:rPr/>
              <w:t xml:space="preserve">79</w:t>
            </w:r>
          </w:p>
        </w:tc>
      </w:tr>
    </w:tbl>
    <w:p>
      <w:pPr>
        <w:spacing w:lineRule="auto"/>
      </w:pPr>
    </w:p>
    <w:p>
      <w:pPr>
        <w:spacing w:after="220" w:lineRule="auto"/>
      </w:pPr>
      <w:r>
        <w:rPr>
          <w:rFonts w:eastAsia="Georgia" w:cs="Georgia" w:ascii="Georgia" w:hAnsi="Georgia"/>
        </w:rPr>
        <w:t xml:space="preserve">Document 4.a - Conditions opératoires et rendement </w:t>
      </w:r>
      <m:oMath>
        <m:r>
          <m:rPr>
            <m:sty m:val="i"/>
          </m:rPr>
          <m:t>r</m:t>
        </m:r>
      </m:oMath>
      <w:r>
        <w:rPr>
          <w:rFonts w:eastAsia="Georgia" w:cs="Georgia" w:ascii="Georgia" w:hAnsi="Georgia"/>
        </w:rPr>
        <w:t xml:space="preserve"> de l'oxydation d'alcools primaires en aldéhyde.</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pPr>
            <w:r>
              <w:rPr/>
              <w:drawing>
                <wp:inline distB="0" distL="0" distR="0" distT="0">
                  <wp:extent cx="1323975" cy="847725"/>
                  <wp:effectExtent b="0" l="0" r="0" t="0"/>
                  <wp:docPr id="34" name="image-svg-650b7df7c5511a5a784a51d62b1d30fbac1e0429.svg"/>
                  <a:graphic>
                    <a:graphicData uri="http://schemas.openxmlformats.org/drawingml/2006/picture">
                      <pic:pic>
                        <pic:nvPicPr>
                          <pic:cNvPr id="34" name="image-svg-650b7df7c5511a5a784a51d62b1d30fbac1e0429.svg" descr=""/>
                          <pic:cNvPicPr/>
                        </pic:nvPicPr>
                        <pic:blipFill>
                          <a:blip r:embed="rId39" cstate="print">
                            <a:extLst>
                              <a:ext uri="">
                                <a14:useLocalDpi val="0"/>
                              </a:ext>
                              <a:ext uri="">
                                <asvg:svgBlip r:embed="rId38"/>
                              </a:ext>
                            </a:extLst>
                          </a:blip>
                          <a:srcRect b="0" l="0" r="0" t="0"/>
                          <a:stretch>
                            <a:fillRect/>
                          </a:stretch>
                        </pic:blipFill>
                        <pic:spPr>
                          <a:xfrm>
                            <a:off x="0" y="0"/>
                            <a:ext cx="1323975" cy="84772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pPr>
              <w:spacing w:lineRule="auto"/>
              <w:jc w:val="left"/>
            </w:pPr>
            <w:r>
              <w:rPr/>
              <w:t xml:space="preserve">+</w:t>
            </w:r>
          </w:p>
        </w:tc>
        <w:tc>
          <w:tcPr>
            <w:gridSpan w:val="3"/>
            <w:tcBorders>
              <w:top w:val="single" w:sz="8" w:space="0" w:color="000000"/>
              <w:bottom w:val="single" w:sz="8" w:space="0" w:color="000000"/>
              <w:right w:val="single" w:sz="8" w:space="0" w:color="000000"/>
            </w:tcBorders>
          </w:tcPr>
          <w:p>
            <w:pPr>
              <w:spacing w:lineRule="auto"/>
              <w:jc w:val="left"/>
            </w:pPr>
            <m:oMathPara>
              <m:oMathParaPr>
                <m:jc m:val="left"/>
              </m:oMathParaPr>
              <m:oMath>
                <m:sSub>
                  <m:sSubPr/>
                  <m:e>
                    <m:r>
                      <m:rPr>
                        <m:sty m:val="p"/>
                      </m:rPr>
                      <m:t>Bu</m:t>
                    </m:r>
                  </m:e>
                  <m:sub>
                    <m:r>
                      <m:rPr>
                        <m:sty m:val="p"/>
                      </m:rPr>
                      <m:t>4</m:t>
                    </m:r>
                  </m:sub>
                </m:sSub>
                <m:sSub>
                  <m:sSubPr/>
                  <m:e>
                    <m:r>
                      <m:rPr>
                        <m:sty m:val="p"/>
                      </m:rPr>
                      <m:t>NHSO</m:t>
                    </m:r>
                  </m:e>
                  <m:sub>
                    <m:r>
                      <m:rPr>
                        <m:sty m:val="p"/>
                      </m:rPr>
                      <m:t>4</m:t>
                    </m:r>
                  </m:sub>
                </m:sSub>
                <m:r>
                  <m:rPr>
                    <m:sty m:val="p"/>
                  </m:rPr>
                  <m:t>(</m:t>
                </m:r>
                <m:r>
                  <m:rPr>
                    <m:sty m:val="p"/>
                  </m:rPr>
                  <m:t>5</m:t>
                </m:r>
                <m:r>
                  <m:rPr>
                    <m:sty m:val="p"/>
                  </m:rPr>
                  <m:t>%</m:t>
                </m:r>
                <m:r>
                  <m:rPr>
                    <m:sty m:val="p"/>
                  </m:rPr>
                  <m:t>)</m:t>
                </m:r>
              </m:oMath>
            </m:oMathPara>
            <w:r>
              <w:rPr/>
              <w:t xml:space="preserve"> catalyseur (1 %)</w:t>
            </w:r>
          </w:p>
          <w:p>
            <w:pPr>
              <w:spacing w:lineRule="auto"/>
              <w:jc w:val="left"/>
            </w:pPr>
            <m:oMathPara>
              <m:oMathParaPr>
                <m:jc m:val="left"/>
              </m:oMathParaPr>
              <m:oMath>
                <m:sSub>
                  <m:sSubPr/>
                  <m:e>
                    <m:r>
                      <m:rPr>
                        <m:sty m:val="p"/>
                      </m:rPr>
                      <m:t>CH</m:t>
                    </m:r>
                  </m:e>
                  <m:sub>
                    <m:r>
                      <m:rPr>
                        <m:sty m:val="p"/>
                      </m:rPr>
                      <m:t>2</m:t>
                    </m:r>
                  </m:sub>
                </m:sSub>
                <m:sSub>
                  <m:sSubPr/>
                  <m:e>
                    <m:r>
                      <m:rPr>
                        <m:sty m:val="p"/>
                      </m:rPr>
                      <m:t>Cl</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pPr>
            <w:r>
              <w:rPr/>
              <w:drawing>
                <wp:inline distB="0" distL="0" distR="0" distT="0">
                  <wp:extent cx="1323975" cy="847725"/>
                  <wp:effectExtent b="0" l="0" r="0" t="0"/>
                  <wp:docPr id="36" name="image-svg-727a61c95a15f912c25975a73ab675e54b3d5915.svg"/>
                  <a:graphic>
                    <a:graphicData uri="http://schemas.openxmlformats.org/drawingml/2006/picture">
                      <pic:pic>
                        <pic:nvPicPr>
                          <pic:cNvPr id="36" name="image-svg-727a61c95a15f912c25975a73ab675e54b3d5915.svg" descr=""/>
                          <pic:cNvPicPr/>
                        </pic:nvPicPr>
                        <pic:blipFill>
                          <a:blip r:embed="rId41" cstate="print">
                            <a:extLst>
                              <a:ext uri="">
                                <a14:useLocalDpi val="0"/>
                              </a:ext>
                              <a:ext uri="">
                                <asvg:svgBlip r:embed="rId40"/>
                              </a:ext>
                            </a:extLst>
                          </a:blip>
                          <a:srcRect b="0" l="0" r="0" t="0"/>
                          <a:stretch>
                            <a:fillRect/>
                          </a:stretch>
                        </pic:blipFill>
                        <pic:spPr>
                          <a:xfrm>
                            <a:off x="0" y="0"/>
                            <a:ext cx="1323975" cy="847725"/>
                          </a:xfrm>
                          <a:prstGeom prst="rect"/>
                        </pic:spPr>
                      </pic:pic>
                    </a:graphicData>
                  </a:graphic>
                </wp:inline>
              </w:drawing>
            </w:r>
          </w:p>
        </w:tc>
        <w:tc>
          <w:tcPr>
            <w:tcBorders>
              <w:top w:val="single" w:sz="8" w:space="0" w:color="000000"/>
              <w:bottom w:val="single" w:sz="8" w:space="0" w:color="000000"/>
              <w:right w:val="single" w:sz="8" w:space="0" w:color="000000"/>
            </w:tcBorders>
            <w:vAlign w:val="center"/>
          </w:tcPr>
          <w:p/>
        </w:tc>
      </w:tr>
      <w:tr>
        <w:trPr>
          <w:cantSplit/>
        </w:trPr>
        <w:tc>
          <w:tcPr>
            <w:tcBorders>
              <w:left w:val="single" w:sz="8" w:space="0" w:color="000000"/>
              <w:bottom w:val="single" w:sz="8" w:space="0" w:color="000000"/>
              <w:right w:val="single" w:sz="8" w:space="0" w:color="000000"/>
            </w:tcBorders>
            <w:vAlign w:val="center"/>
          </w:tcPr>
          <w:p>
            <w:pPr>
              <w:spacing w:lineRule="auto"/>
              <w:jc w:val="left"/>
            </w:pPr>
            <w:r>
              <w:rPr/>
              <w:t xml:space="preserve">Alcool</w:t>
            </w:r>
          </w:p>
        </w:tc>
        <w:tc>
          <w:tcPr>
            <w:tcBorders>
              <w:bottom w:val="single" w:sz="8" w:space="0" w:color="000000"/>
              <w:right w:val="single" w:sz="8" w:space="0" w:color="000000"/>
            </w:tcBorders>
            <w:vAlign w:val="center"/>
          </w:tcPr>
          <w:p>
            <w:pPr>
              <w:spacing w:lineRule="auto"/>
              <w:jc w:val="left"/>
            </w:pPr>
            <w:r>
              <w:rPr/>
              <w:t xml:space="preserve">catalyseur</w:t>
            </w:r>
          </w:p>
        </w:tc>
        <w:tc>
          <w:tcPr>
            <w:tcBorders>
              <w:bottom w:val="single" w:sz="8" w:space="0" w:color="000000"/>
              <w:right w:val="single" w:sz="8" w:space="0" w:color="000000"/>
            </w:tcBorders>
            <w:vAlign w:val="center"/>
          </w:tcPr>
          <w:p>
            <w:pPr>
              <w:spacing w:lineRule="auto"/>
              <w:jc w:val="left"/>
            </w:pPr>
            <w:r>
              <w:rPr>
                <w:rFonts w:eastAsia="Georgia" w:cs="Georgia" w:ascii="Georgia" w:hAnsi="Georgia"/>
              </w:rPr>
              <w:t xml:space="preserve">NaClO (équiv.)</w:t>
            </w:r>
          </w:p>
        </w:tc>
        <w:tc>
          <w:tcPr>
            <w:tcBorders>
              <w:bottom w:val="single" w:sz="8" w:space="0" w:color="000000"/>
              <w:right w:val="single" w:sz="8" w:space="0" w:color="000000"/>
            </w:tcBorders>
            <w:vAlign w:val="center"/>
          </w:tcPr>
          <w:p>
            <w:pPr>
              <w:spacing w:lineRule="auto"/>
              <w:jc w:val="left"/>
            </w:pPr>
            <m:oMath>
              <m:sSub>
                <m:sSubPr/>
                <m:e>
                  <m:r>
                    <m:rPr>
                      <m:sty m:val="p"/>
                    </m:rPr>
                    <m:t>CH</m:t>
                  </m:r>
                </m:e>
                <m:sub>
                  <m:r>
                    <m:rPr>
                      <m:sty m:val="p"/>
                    </m:rPr>
                    <m:t>2</m:t>
                  </m:r>
                </m:sub>
              </m:sSub>
              <m:sSub>
                <m:sSubPr/>
                <m:e>
                  <m:r>
                    <m:rPr>
                      <m:sty m:val="p"/>
                    </m:rPr>
                    <m:t>Cl</m:t>
                  </m:r>
                </m:e>
                <m:sub>
                  <m:r>
                    <m:rPr>
                      <m:sty m:val="p"/>
                    </m:rPr>
                    <m:t>2</m:t>
                  </m:r>
                </m:sub>
              </m:sSub>
            </m:oMath>
            <w:r>
              <w:rPr/>
              <w:t xml:space="preserve"> (mL)</w:t>
            </w:r>
          </w:p>
        </w:tc>
        <w:tc>
          <w:tcPr>
            <w:tcBorders>
              <w:bottom w:val="single" w:sz="8" w:space="0" w:color="000000"/>
              <w:right w:val="single" w:sz="8" w:space="0" w:color="000000"/>
            </w:tcBorders>
            <w:vAlign w:val="center"/>
          </w:tcPr>
          <w:p>
            <w:pPr>
              <w:spacing w:lineRule="auto"/>
              <w:jc w:val="left"/>
            </w:pPr>
            <w:r>
              <w:rPr/>
              <w:t xml:space="preserve">Temp. ( </w:t>
            </w:r>
            <m:oMath>
              <m:sSup>
                <m:sSupPr/>
                <m:e>
                  <m:r>
                    <m:t xml:space="preserve"> </m:t>
                  </m:r>
                </m:e>
                <m:sup>
                  <m:r>
                    <m:rPr>
                      <m:sty m:val="p"/>
                    </m:rPr>
                    <m:t>∘</m:t>
                  </m:r>
                </m:sup>
              </m:sSup>
              <m:r>
                <m:rPr>
                  <m:sty m:val="p"/>
                </m:rPr>
                <m:t>C</m:t>
              </m:r>
            </m:oMath>
            <w:r>
              <w:rPr/>
              <w:t xml:space="preserve"> )</w:t>
            </w:r>
          </w:p>
        </w:tc>
        <w:tc>
          <w:tcPr>
            <w:tcBorders>
              <w:bottom w:val="single" w:sz="8" w:space="0" w:color="000000"/>
              <w:right w:val="single" w:sz="8" w:space="0" w:color="000000"/>
            </w:tcBorders>
            <w:vAlign w:val="center"/>
          </w:tcPr>
          <w:p>
            <w:pPr>
              <w:spacing w:lineRule="auto"/>
              <w:jc w:val="left"/>
            </w:pPr>
            <w:r>
              <w:rPr/>
              <w:t xml:space="preserve">Temps (h)</w:t>
            </w:r>
          </w:p>
        </w:tc>
        <w:tc>
          <w:tcPr>
            <w:tcBorders>
              <w:bottom w:val="single" w:sz="8" w:space="0" w:color="000000"/>
              <w:right w:val="single" w:sz="8" w:space="0" w:color="000000"/>
            </w:tcBorders>
            <w:vAlign w:val="center"/>
          </w:tcPr>
          <w:p>
            <w:pPr>
              <w:spacing w:lineRule="auto"/>
              <w:jc w:val="left"/>
            </w:pPr>
            <m:oMath>
              <m:r>
                <m:rPr>
                  <m:sty m:val="i"/>
                </m:rPr>
                <m:t>r</m:t>
              </m:r>
            </m:oMath>
            <w:r>
              <w:rPr/>
              <w:t xml:space="preserve"> (%)</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581150" cy="1152525"/>
                  <wp:effectExtent b="0" l="0" r="0" t="0"/>
                  <wp:docPr id="38" name="image-svg-209fdd5870ccbf855fd9c8115777a111d48635c1.svg"/>
                  <a:graphic>
                    <a:graphicData uri="http://schemas.openxmlformats.org/drawingml/2006/picture">
                      <pic:pic>
                        <pic:nvPicPr>
                          <pic:cNvPr id="38" name="image-svg-209fdd5870ccbf855fd9c8115777a111d48635c1.svg" descr=""/>
                          <pic:cNvPicPr/>
                        </pic:nvPicPr>
                        <pic:blipFill>
                          <a:blip r:embed="rId43" cstate="print">
                            <a:extLst>
                              <a:ext uri="">
                                <a14:useLocalDpi val="0"/>
                              </a:ext>
                              <a:ext uri="">
                                <asvg:svgBlip r:embed="rId42"/>
                              </a:ext>
                            </a:extLst>
                          </a:blip>
                          <a:srcRect b="0" l="0" r="0" t="0"/>
                          <a:stretch>
                            <a:fillRect/>
                          </a:stretch>
                        </pic:blipFill>
                        <pic:spPr>
                          <a:xfrm>
                            <a:off x="0" y="0"/>
                            <a:ext cx="1581150" cy="11525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TEMPO</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NaClO</m:t>
                </m:r>
                <m:r>
                  <m:rPr>
                    <m:sty m:val="p"/>
                  </m:rPr>
                  <m:t>⋅</m:t>
                </m:r>
                <m:r>
                  <m:rPr>
                    <m:sty m:val="p"/>
                  </m:rPr>
                  <m:t>5</m:t>
                </m:r>
                <m:sSub>
                  <m:sSubPr/>
                  <m:e>
                    <m:r>
                      <m:rPr>
                        <m:sty m:val="p"/>
                      </m:rPr>
                      <m:t>H</m:t>
                    </m:r>
                  </m:e>
                  <m:sub>
                    <m:r>
                      <m:rPr>
                        <m:sty m:val="p"/>
                      </m:rPr>
                      <m:t>2</m:t>
                    </m:r>
                  </m:sub>
                </m:sSub>
                <m:r>
                  <m:rPr>
                    <m:sty m:val="p"/>
                  </m:rPr>
                  <m:t>O</m:t>
                </m:r>
                <m:r>
                  <m:rPr>
                    <m:sty m:val="p"/>
                  </m:rPr>
                  <m:t>(</m:t>
                </m:r>
                <m:r>
                  <m:rPr>
                    <m:sty m:val="p"/>
                  </m:rPr>
                  <m:t>1</m:t>
                </m:r>
                <m:r>
                  <m:rPr>
                    <m:sty m:val="p"/>
                  </m:rPr>
                  <m:t>,</m:t>
                </m:r>
                <m:r>
                  <m:rPr>
                    <m:sty m:val="p"/>
                  </m:rPr>
                  <m:t>2</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95</w:t>
            </w:r>
          </w:p>
        </w:tc>
      </w:tr>
      <w:tr>
        <w:trPr>
          <w:cantSplit/>
        </w:trPr>
        <w:tc>
          <w:tcPr>
            <w:tcBorders>
              <w:left w:val="single" w:sz="8" w:space="0" w:color="000000"/>
              <w:bottom w:val="single" w:sz="8" w:space="0" w:color="000000"/>
              <w:right w:val="single" w:sz="8" w:space="0" w:color="000000"/>
            </w:tcBorders>
            <w:vAlign w:val="center"/>
          </w:tcPr>
          <w:p/>
        </w:tc>
        <w:tc>
          <w:tcPr>
            <w:tcBorders>
              <w:bottom w:val="single" w:sz="8" w:space="0" w:color="000000"/>
              <w:right w:val="single" w:sz="8" w:space="0" w:color="000000"/>
            </w:tcBorders>
            <w:vAlign w:val="center"/>
          </w:tcPr>
          <w:p>
            <w:pPr>
              <w:spacing w:lineRule="auto"/>
              <w:jc w:val="left"/>
            </w:pPr>
            <w:r>
              <w:rPr/>
              <w:t xml:space="preserve">TEMPO</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NaClO</m:t>
                </m:r>
                <m:r>
                  <m:rPr>
                    <m:sty m:val="p"/>
                  </m:rPr>
                  <m:t>⋅</m:t>
                </m:r>
                <m:r>
                  <m:rPr>
                    <m:sty m:val="p"/>
                  </m:rPr>
                  <m:t>5</m:t>
                </m:r>
                <m:sSub>
                  <m:sSubPr/>
                  <m:e>
                    <m:r>
                      <m:rPr>
                        <m:sty m:val="p"/>
                      </m:rPr>
                      <m:t>H</m:t>
                    </m:r>
                  </m:e>
                  <m:sub>
                    <m:r>
                      <m:rPr>
                        <m:sty m:val="p"/>
                      </m:rPr>
                      <m:t>2</m:t>
                    </m:r>
                  </m:sub>
                </m:sSub>
                <m:r>
                  <m:rPr>
                    <m:sty m:val="p"/>
                  </m:rPr>
                  <m:t>O</m:t>
                </m:r>
                <m:r>
                  <m:rPr>
                    <m:sty m:val="p"/>
                  </m:rPr>
                  <m:t>(</m:t>
                </m:r>
                <m:r>
                  <m:rPr>
                    <m:sty m:val="p"/>
                  </m:rPr>
                  <m:t>1</m:t>
                </m:r>
                <m:r>
                  <m:rPr>
                    <m:sty m:val="p"/>
                  </m:rPr>
                  <m:t>,</m:t>
                </m:r>
                <m:r>
                  <m:rPr>
                    <m:sty m:val="p"/>
                  </m:rPr>
                  <m:t>2</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1</w:t>
            </w:r>
          </w:p>
        </w:tc>
        <w:tc>
          <w:tcPr>
            <w:tcBorders>
              <w:bottom w:val="single" w:sz="8" w:space="0" w:color="000000"/>
              <w:right w:val="single" w:sz="8" w:space="0" w:color="000000"/>
            </w:tcBorders>
            <w:vAlign w:val="center"/>
          </w:tcPr>
          <w:p>
            <w:pPr>
              <w:spacing w:lineRule="auto"/>
              <w:jc w:val="left"/>
            </w:pPr>
            <w:r>
              <w:rPr/>
              <w:t xml:space="preserve">97</w:t>
            </w:r>
          </w:p>
        </w:tc>
      </w:tr>
      <w:tr>
        <w:trPr>
          <w:cantSplit/>
        </w:trPr>
        <w:tc>
          <w:tcPr>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1581150" cy="1152525"/>
                  <wp:effectExtent b="0" l="0" r="0" t="0"/>
                  <wp:docPr id="40" name="image-svg-162ce1fdfcf1ef1ccb5a23046c14d0c4c784d834.svg"/>
                  <a:graphic>
                    <a:graphicData uri="http://schemas.openxmlformats.org/drawingml/2006/picture">
                      <pic:pic>
                        <pic:nvPicPr>
                          <pic:cNvPr id="40" name="image-svg-162ce1fdfcf1ef1ccb5a23046c14d0c4c784d834.svg" descr=""/>
                          <pic:cNvPicPr/>
                        </pic:nvPicPr>
                        <pic:blipFill>
                          <a:blip r:embed="rId45" cstate="print">
                            <a:extLst>
                              <a:ext uri="">
                                <a14:useLocalDpi val="0"/>
                              </a:ext>
                              <a:ext uri="">
                                <asvg:svgBlip r:embed="rId44"/>
                              </a:ext>
                            </a:extLst>
                          </a:blip>
                          <a:srcRect b="0" l="0" r="0" t="0"/>
                          <a:stretch>
                            <a:fillRect/>
                          </a:stretch>
                        </pic:blipFill>
                        <pic:spPr>
                          <a:xfrm>
                            <a:off x="0" y="0"/>
                            <a:ext cx="1581150" cy="11525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TEMPO</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NaClO</m:t>
                </m:r>
                <m:r>
                  <m:rPr>
                    <m:sty m:val="p"/>
                  </m:rPr>
                  <m:t>⋅</m:t>
                </m:r>
                <m:r>
                  <m:rPr>
                    <m:sty m:val="p"/>
                  </m:rPr>
                  <m:t>5</m:t>
                </m:r>
                <m:sSub>
                  <m:sSubPr/>
                  <m:e>
                    <m:r>
                      <m:rPr>
                        <m:sty m:val="p"/>
                      </m:rPr>
                      <m:t>H</m:t>
                    </m:r>
                  </m:e>
                  <m:sub>
                    <m:r>
                      <m:rPr>
                        <m:sty m:val="p"/>
                      </m:rPr>
                      <m:t>2</m:t>
                    </m:r>
                  </m:sub>
                </m:sSub>
                <m:r>
                  <m:rPr>
                    <m:sty m:val="p"/>
                  </m:rPr>
                  <m:t>O</m:t>
                </m:r>
                <m:r>
                  <m:rPr>
                    <m:sty m:val="p"/>
                  </m:rPr>
                  <m:t>(</m:t>
                </m:r>
                <m:r>
                  <m:rPr>
                    <m:sty m:val="p"/>
                  </m:rPr>
                  <m:t>1</m:t>
                </m:r>
                <m:r>
                  <m:rPr>
                    <m:sty m:val="p"/>
                  </m:rPr>
                  <m:t>,</m:t>
                </m:r>
                <m:r>
                  <m:rPr>
                    <m:sty m:val="p"/>
                  </m:rPr>
                  <m:t>2</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8</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96</w:t>
            </w:r>
          </w:p>
        </w:tc>
      </w:tr>
      <w:tr>
        <w:trPr>
          <w:cantSplit/>
        </w:trPr>
        <w:tc>
          <w:tcPr>
            <w:vMerge w:val="restart"/>
            <w:tcBorders>
              <w:left w:val="single" w:sz="8" w:space="0" w:color="000000"/>
              <w:bottom w:val="single" w:sz="8" w:space="0" w:color="000000"/>
              <w:right w:val="single" w:sz="8" w:space="0" w:color="000000"/>
            </w:tcBorders>
            <w:vAlign w:val="top"/>
          </w:tcPr>
          <w:p>
            <w:pPr>
              <w:spacing w:lineRule="auto"/>
            </w:pPr>
            <w:r>
              <w:rPr/>
              <w:drawing>
                <wp:inline distB="0" distL="0" distR="0" distT="0">
                  <wp:extent cx="2152650" cy="1181100"/>
                  <wp:effectExtent b="0" l="0" r="0" t="0"/>
                  <wp:docPr id="42" name="image-svg-cc68cb623b2bc6293f1b596f903bb5919eea59a4.svg"/>
                  <a:graphic>
                    <a:graphicData uri="http://schemas.openxmlformats.org/drawingml/2006/picture">
                      <pic:pic>
                        <pic:nvPicPr>
                          <pic:cNvPr id="42" name="image-svg-cc68cb623b2bc6293f1b596f903bb5919eea59a4.svg" descr=""/>
                          <pic:cNvPicPr/>
                        </pic:nvPicPr>
                        <pic:blipFill>
                          <a:blip r:embed="rId47" cstate="print">
                            <a:extLst>
                              <a:ext uri="">
                                <a14:useLocalDpi val="0"/>
                              </a:ext>
                              <a:ext uri="">
                                <asvg:svgBlip r:embed="rId46"/>
                              </a:ext>
                            </a:extLst>
                          </a:blip>
                          <a:srcRect b="0" l="0" r="0" t="0"/>
                          <a:stretch>
                            <a:fillRect/>
                          </a:stretch>
                        </pic:blipFill>
                        <pic:spPr>
                          <a:xfrm>
                            <a:off x="0" y="0"/>
                            <a:ext cx="2152650" cy="1181100"/>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NaClO</m:t>
                </m:r>
                <m:r>
                  <m:rPr>
                    <m:sty m:val="p"/>
                  </m:rPr>
                  <m:t>⋅</m:t>
                </m:r>
                <m:r>
                  <m:rPr>
                    <m:sty m:val="p"/>
                  </m:rPr>
                  <m:t>5</m:t>
                </m:r>
                <m:sSub>
                  <m:sSubPr/>
                  <m:e>
                    <m:r>
                      <m:rPr>
                        <m:sty m:val="p"/>
                      </m:rPr>
                      <m:t>H</m:t>
                    </m:r>
                  </m:e>
                  <m:sub>
                    <m:r>
                      <m:rPr>
                        <m:sty m:val="p"/>
                      </m:rPr>
                      <m:t>2</m:t>
                    </m:r>
                  </m:sub>
                </m:sSub>
                <m:r>
                  <m:rPr>
                    <m:sty m:val="p"/>
                  </m:rPr>
                  <m:t>O</m:t>
                </m:r>
                <m:r>
                  <m:rPr>
                    <m:sty m:val="p"/>
                  </m:rPr>
                  <m:t>(</m:t>
                </m:r>
                <m:r>
                  <m:rPr>
                    <m:sty m:val="p"/>
                  </m:rPr>
                  <m:t>1</m:t>
                </m:r>
                <m:r>
                  <m:rPr>
                    <m:sty m:val="p"/>
                  </m:rPr>
                  <m:t>,</m:t>
                </m:r>
                <m:r>
                  <m:rPr>
                    <m:sty m:val="p"/>
                  </m:rPr>
                  <m:t>2</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98</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w:t>
            </w:r>
          </w:p>
        </w:tc>
        <w:tc>
          <w:tcPr>
            <w:tcBorders>
              <w:bottom w:val="single" w:sz="8" w:space="0" w:color="000000"/>
              <w:right w:val="single" w:sz="8" w:space="0" w:color="000000"/>
            </w:tcBorders>
            <w:vAlign w:val="center"/>
          </w:tcPr>
          <w:p>
            <w:pPr>
              <w:spacing w:lineRule="auto"/>
              <w:jc w:val="left"/>
            </w:pPr>
            <m:oMath>
              <m:r>
                <m:rPr>
                  <m:sty m:val="p"/>
                </m:rPr>
                <m:t>12</m:t>
              </m:r>
              <m:r>
                <m:rPr>
                  <m:sty m:val="p"/>
                </m:rPr>
                <m:t>%</m:t>
              </m:r>
            </m:oMath>
            <w:r>
              <w:rPr/>
              <w:t xml:space="preserve"> aq NaClO </w:t>
            </w:r>
            <m:oMath>
              <m:r>
                <m:rPr>
                  <m:sty m:val="p"/>
                </m:rPr>
                <m:t>(</m:t>
              </m:r>
              <m:r>
                <m:rPr>
                  <m:sty m:val="p"/>
                </m:rPr>
                <m:t>1</m:t>
              </m:r>
              <m:r>
                <m:rPr>
                  <m:sty m:val="p"/>
                </m:rPr>
                <m:t>,</m:t>
              </m:r>
              <m:r>
                <m:rPr>
                  <m:sty m:val="p"/>
                </m:rPr>
                <m:t>2</m:t>
              </m:r>
              <m:r>
                <m:rPr>
                  <m:sty m:val="p"/>
                </m:rPr>
                <m:t>)</m:t>
              </m:r>
            </m:oMath>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5</w:t>
            </w:r>
          </w:p>
        </w:tc>
        <w:tc>
          <w:tcPr>
            <w:tcBorders>
              <w:bottom w:val="single" w:sz="8" w:space="0" w:color="000000"/>
              <w:right w:val="single" w:sz="8" w:space="0" w:color="000000"/>
            </w:tcBorders>
            <w:vAlign w:val="center"/>
          </w:tcPr>
          <w:p>
            <w:pPr>
              <w:spacing w:lineRule="auto"/>
              <w:jc w:val="left"/>
            </w:pPr>
            <w:r>
              <w:rPr/>
              <w:t xml:space="preserve">24</w:t>
            </w:r>
          </w:p>
        </w:tc>
        <w:tc>
          <w:tcPr>
            <w:tcBorders>
              <w:bottom w:val="single" w:sz="8" w:space="0" w:color="000000"/>
              <w:right w:val="single" w:sz="8" w:space="0" w:color="000000"/>
            </w:tcBorders>
            <w:vAlign w:val="center"/>
          </w:tcPr>
          <w:p>
            <w:pPr>
              <w:spacing w:lineRule="auto"/>
              <w:jc w:val="left"/>
            </w:pPr>
            <w:r>
              <w:rPr/>
              <w:t xml:space="preserve">2</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TEMPO</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NaClO</m:t>
                </m:r>
                <m:r>
                  <m:rPr>
                    <m:sty m:val="p"/>
                  </m:rPr>
                  <m:t>⋅</m:t>
                </m:r>
                <m:r>
                  <m:rPr>
                    <m:sty m:val="p"/>
                  </m:rPr>
                  <m:t>5</m:t>
                </m:r>
                <m:sSub>
                  <m:sSubPr/>
                  <m:e>
                    <m:r>
                      <m:rPr>
                        <m:sty m:val="p"/>
                      </m:rPr>
                      <m:t>H</m:t>
                    </m:r>
                  </m:e>
                  <m:sub>
                    <m:r>
                      <m:rPr>
                        <m:sty m:val="p"/>
                      </m:rPr>
                      <m:t>2</m:t>
                    </m:r>
                  </m:sub>
                </m:sSub>
                <m:r>
                  <m:rPr>
                    <m:sty m:val="p"/>
                  </m:rPr>
                  <m:t>O</m:t>
                </m:r>
                <m:r>
                  <m:rPr>
                    <m:sty m:val="p"/>
                  </m:rPr>
                  <m:t>(</m:t>
                </m:r>
                <m:r>
                  <m:rPr>
                    <m:sty m:val="p"/>
                  </m:rPr>
                  <m:t>1</m:t>
                </m:r>
                <m:r>
                  <m:rPr>
                    <m:sty m:val="p"/>
                  </m:rPr>
                  <m:t>,</m:t>
                </m:r>
                <m:r>
                  <m:rPr>
                    <m:sty m:val="p"/>
                  </m:rPr>
                  <m:t>6</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2</w:t>
            </w:r>
          </w:p>
        </w:tc>
        <w:tc>
          <w:tcPr>
            <w:tcBorders>
              <w:bottom w:val="single" w:sz="8" w:space="0" w:color="000000"/>
              <w:right w:val="single" w:sz="8" w:space="0" w:color="000000"/>
            </w:tcBorders>
            <w:vAlign w:val="center"/>
          </w:tcPr>
          <w:p>
            <w:pPr>
              <w:spacing w:lineRule="auto"/>
              <w:jc w:val="left"/>
            </w:pPr>
            <w:r>
              <w:rPr/>
              <w:t xml:space="preserve">96</w:t>
            </w:r>
          </w:p>
        </w:tc>
      </w:tr>
      <w:tr>
        <w:trPr>
          <w:cantSplit/>
        </w:trPr>
        <w:tc>
          <w:tcPr>
            <w:vMerge w:val="continue"/>
            <w:tcBorders>
              <w:left w:val="single" w:sz="8" w:space="0" w:color="000000"/>
              <w:bottom w:val="single" w:sz="8" w:space="0" w:color="000000"/>
              <w:right w:val="single" w:sz="8" w:space="0" w:color="000000"/>
            </w:tcBorders>
            <w:vAlign w:val="top"/>
          </w:tcPr>
          <w:p/>
        </w:tc>
        <w:tc>
          <w:tcPr>
            <w:tcBorders>
              <w:bottom w:val="single" w:sz="8" w:space="0" w:color="000000"/>
              <w:right w:val="single" w:sz="8" w:space="0" w:color="000000"/>
            </w:tcBorders>
            <w:vAlign w:val="center"/>
          </w:tcPr>
          <w:p>
            <w:pPr>
              <w:spacing w:lineRule="auto"/>
              <w:jc w:val="left"/>
            </w:pPr>
            <w:r>
              <w:rPr/>
              <w:t xml:space="preserve">1-Me-AZADO</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NaClO</m:t>
                </m:r>
                <m:r>
                  <m:rPr>
                    <m:sty m:val="p"/>
                  </m:rPr>
                  <m:t>⋅</m:t>
                </m:r>
                <m:r>
                  <m:rPr>
                    <m:sty m:val="p"/>
                  </m:rPr>
                  <m:t>5</m:t>
                </m:r>
                <m:sSub>
                  <m:sSubPr/>
                  <m:e>
                    <m:r>
                      <m:rPr>
                        <m:sty m:val="p"/>
                      </m:rPr>
                      <m:t>H</m:t>
                    </m:r>
                  </m:e>
                  <m:sub>
                    <m:r>
                      <m:rPr>
                        <m:sty m:val="p"/>
                      </m:rPr>
                      <m:t>2</m:t>
                    </m:r>
                  </m:sub>
                </m:sSub>
                <m:r>
                  <m:rPr>
                    <m:sty m:val="p"/>
                  </m:rPr>
                  <m:t>O</m:t>
                </m:r>
                <m:r>
                  <m:rPr>
                    <m:sty m:val="p"/>
                  </m:rPr>
                  <m:t>(</m:t>
                </m:r>
                <m:r>
                  <m:rPr>
                    <m:sty m:val="p"/>
                  </m:rPr>
                  <m:t>1</m:t>
                </m:r>
                <m:r>
                  <m:rPr>
                    <m:sty m:val="p"/>
                  </m:rPr>
                  <m:t>,</m:t>
                </m:r>
                <m:r>
                  <m:rPr>
                    <m:sty m:val="p"/>
                  </m:rPr>
                  <m:t>4</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98</w:t>
            </w:r>
          </w:p>
        </w:tc>
      </w:tr>
      <w:tr>
        <w:trPr>
          <w:cantSplit/>
        </w:trPr>
        <w:tc>
          <w:tcPr>
            <w:vMerge w:val="restart"/>
            <w:tcBorders>
              <w:left w:val="single" w:sz="8" w:space="0" w:color="000000"/>
              <w:bottom w:val="single" w:sz="8" w:space="0" w:color="000000"/>
              <w:right w:val="single" w:sz="8" w:space="0" w:color="000000"/>
            </w:tcBorders>
            <w:vAlign w:val="center"/>
          </w:tcPr>
          <w:p>
            <w:pPr>
              <w:spacing w:lineRule="auto"/>
            </w:pPr>
            <w:r>
              <w:rPr/>
              <w:drawing>
                <wp:inline distB="0" distL="0" distR="0" distT="0">
                  <wp:extent cx="2362200" cy="847725"/>
                  <wp:effectExtent b="0" l="0" r="0" t="0"/>
                  <wp:docPr id="44" name="image-svg-5462658f4fea370e244e332e1e4bb317de09f012.svg"/>
                  <a:graphic>
                    <a:graphicData uri="http://schemas.openxmlformats.org/drawingml/2006/picture">
                      <pic:pic>
                        <pic:nvPicPr>
                          <pic:cNvPr id="44" name="image-svg-5462658f4fea370e244e332e1e4bb317de09f012.svg" descr=""/>
                          <pic:cNvPicPr/>
                        </pic:nvPicPr>
                        <pic:blipFill>
                          <a:blip r:embed="rId49" cstate="print">
                            <a:extLst>
                              <a:ext uri="">
                                <a14:useLocalDpi val="0"/>
                              </a:ext>
                              <a:ext uri="">
                                <asvg:svgBlip r:embed="rId48"/>
                              </a:ext>
                            </a:extLst>
                          </a:blip>
                          <a:srcRect b="0" l="0" r="0" t="0"/>
                          <a:stretch>
                            <a:fillRect/>
                          </a:stretch>
                        </pic:blipFill>
                        <pic:spPr>
                          <a:xfrm>
                            <a:off x="0" y="0"/>
                            <a:ext cx="2362200" cy="847725"/>
                          </a:xfrm>
                          <a:prstGeom prst="rect"/>
                        </pic:spPr>
                      </pic:pic>
                    </a:graphicData>
                  </a:graphic>
                </wp:inline>
              </w:drawing>
            </w:r>
          </w:p>
        </w:tc>
        <w:tc>
          <w:tcPr>
            <w:tcBorders>
              <w:bottom w:val="single" w:sz="8" w:space="0" w:color="000000"/>
              <w:right w:val="single" w:sz="8" w:space="0" w:color="000000"/>
            </w:tcBorders>
            <w:vAlign w:val="center"/>
          </w:tcPr>
          <w:p>
            <w:pPr>
              <w:spacing w:lineRule="auto"/>
              <w:jc w:val="left"/>
            </w:pPr>
            <w:r>
              <w:rPr/>
              <w:t xml:space="preserve">TEMPO</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NaClO</m:t>
                </m:r>
                <m:r>
                  <m:rPr>
                    <m:sty m:val="p"/>
                  </m:rPr>
                  <m:t>⋅</m:t>
                </m:r>
                <m:r>
                  <m:rPr>
                    <m:sty m:val="p"/>
                  </m:rPr>
                  <m:t>5</m:t>
                </m:r>
                <m:sSub>
                  <m:sSubPr/>
                  <m:e>
                    <m:r>
                      <m:rPr>
                        <m:sty m:val="p"/>
                      </m:rPr>
                      <m:t>H</m:t>
                    </m:r>
                  </m:e>
                  <m:sub>
                    <m:r>
                      <m:rPr>
                        <m:sty m:val="p"/>
                      </m:rPr>
                      <m:t>2</m:t>
                    </m:r>
                  </m:sub>
                </m:sSub>
                <m:r>
                  <m:rPr>
                    <m:sty m:val="p"/>
                  </m:rPr>
                  <m:t>O</m:t>
                </m:r>
                <m:r>
                  <m:rPr>
                    <m:sty m:val="p"/>
                  </m:rPr>
                  <m:t>(</m:t>
                </m:r>
                <m:r>
                  <m:rPr>
                    <m:sty m:val="p"/>
                  </m:rPr>
                  <m:t>1</m:t>
                </m:r>
                <m:r>
                  <m:rPr>
                    <m:sty m:val="p"/>
                  </m:rPr>
                  <m:t>,</m:t>
                </m:r>
                <m:r>
                  <m:rPr>
                    <m:sty m:val="p"/>
                  </m:rPr>
                  <m:t>8</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10</w:t>
            </w:r>
          </w:p>
        </w:tc>
        <w:tc>
          <w:tcPr>
            <w:tcBorders>
              <w:bottom w:val="single" w:sz="8" w:space="0" w:color="000000"/>
              <w:right w:val="single" w:sz="8" w:space="0" w:color="000000"/>
            </w:tcBorders>
            <w:vAlign w:val="center"/>
          </w:tcPr>
          <w:p>
            <w:pPr>
              <w:spacing w:lineRule="auto"/>
              <w:jc w:val="left"/>
            </w:pPr>
            <w:r>
              <w:rPr/>
              <w:t xml:space="preserve">15</w:t>
            </w:r>
          </w:p>
        </w:tc>
        <w:tc>
          <w:tcPr>
            <w:tcBorders>
              <w:bottom w:val="single" w:sz="8" w:space="0" w:color="000000"/>
              <w:right w:val="single" w:sz="8" w:space="0" w:color="000000"/>
            </w:tcBorders>
            <w:vAlign w:val="center"/>
          </w:tcPr>
          <w:p>
            <w:pPr>
              <w:spacing w:lineRule="auto"/>
              <w:jc w:val="left"/>
            </w:pPr>
            <w:r>
              <w:rPr/>
              <w:t xml:space="preserve">6</w:t>
            </w:r>
          </w:p>
        </w:tc>
        <w:tc>
          <w:tcPr>
            <w:tcBorders>
              <w:bottom w:val="single" w:sz="8" w:space="0" w:color="000000"/>
              <w:right w:val="single" w:sz="8" w:space="0" w:color="000000"/>
            </w:tcBorders>
            <w:vAlign w:val="center"/>
          </w:tcPr>
          <w:p>
            <w:pPr>
              <w:spacing w:lineRule="auto"/>
              <w:jc w:val="left"/>
            </w:pPr>
            <w:r>
              <w:rPr/>
              <w:t xml:space="preserve">88</w:t>
            </w:r>
          </w:p>
        </w:tc>
      </w:tr>
      <w:tr>
        <w:trPr>
          <w:cantSplit/>
        </w:trPr>
        <w:tc>
          <w:tcPr>
            <w:vMerge w:val="continue"/>
            <w:tcBorders>
              <w:left w:val="single" w:sz="8" w:space="0" w:color="000000"/>
              <w:bottom w:val="single" w:sz="8" w:space="0" w:color="000000"/>
              <w:right w:val="single" w:sz="8" w:space="0" w:color="000000"/>
            </w:tcBorders>
          </w:tcPr>
          <w:p/>
        </w:tc>
        <w:tc>
          <w:tcPr>
            <w:tcBorders>
              <w:bottom w:val="single" w:sz="8" w:space="0" w:color="000000"/>
              <w:right w:val="single" w:sz="8" w:space="0" w:color="000000"/>
            </w:tcBorders>
            <w:vAlign w:val="center"/>
          </w:tcPr>
          <w:p>
            <w:pPr>
              <w:spacing w:lineRule="auto"/>
              <w:jc w:val="left"/>
            </w:pPr>
            <w:r>
              <w:rPr/>
              <w:t xml:space="preserve">1-Me-AZADO</w:t>
            </w:r>
          </w:p>
        </w:tc>
        <w:tc>
          <w:tcPr>
            <w:tcBorders>
              <w:bottom w:val="single" w:sz="8" w:space="0" w:color="000000"/>
              <w:right w:val="single" w:sz="8" w:space="0" w:color="000000"/>
            </w:tcBorders>
            <w:vAlign w:val="center"/>
          </w:tcPr>
          <w:p>
            <w:pPr>
              <w:spacing w:lineRule="auto"/>
              <w:jc w:val="left"/>
            </w:pPr>
            <m:oMathPara>
              <m:oMathParaPr>
                <m:jc m:val="left"/>
              </m:oMathParaPr>
              <m:oMath>
                <m:r>
                  <m:rPr>
                    <m:sty m:val="p"/>
                  </m:rPr>
                  <m:t>NaClO</m:t>
                </m:r>
                <m:r>
                  <m:rPr>
                    <m:sty m:val="p"/>
                  </m:rPr>
                  <m:t>⋅</m:t>
                </m:r>
                <m:r>
                  <m:rPr>
                    <m:sty m:val="p"/>
                  </m:rPr>
                  <m:t>5</m:t>
                </m:r>
                <m:sSub>
                  <m:sSubPr/>
                  <m:e>
                    <m:r>
                      <m:rPr>
                        <m:sty m:val="p"/>
                      </m:rPr>
                      <m:t>H</m:t>
                    </m:r>
                  </m:e>
                  <m:sub>
                    <m:r>
                      <m:rPr>
                        <m:sty m:val="p"/>
                      </m:rPr>
                      <m:t>2</m:t>
                    </m:r>
                  </m:sub>
                </m:sSub>
                <m:r>
                  <m:rPr>
                    <m:sty m:val="p"/>
                  </m:rPr>
                  <m:t>O</m:t>
                </m:r>
                <m:r>
                  <m:rPr>
                    <m:sty m:val="p"/>
                  </m:rPr>
                  <m:t>(</m:t>
                </m:r>
                <m:r>
                  <m:rPr>
                    <m:sty m:val="p"/>
                  </m:rPr>
                  <m:t>1</m:t>
                </m:r>
                <m:r>
                  <m:rPr>
                    <m:sty m:val="p"/>
                  </m:rPr>
                  <m:t>,</m:t>
                </m:r>
                <m:r>
                  <m:rPr>
                    <m:sty m:val="p"/>
                  </m:rPr>
                  <m:t>4</m:t>
                </m:r>
                <m:r>
                  <m:rPr>
                    <m:sty m:val="p"/>
                  </m:rPr>
                  <m:t>)</m:t>
                </m:r>
              </m:oMath>
            </m:oMathPara>
          </w:p>
        </w:tc>
        <w:tc>
          <w:tcPr>
            <w:tcBorders>
              <w:bottom w:val="single" w:sz="8" w:space="0" w:color="000000"/>
              <w:right w:val="single" w:sz="8" w:space="0" w:color="000000"/>
            </w:tcBorders>
            <w:vAlign w:val="center"/>
          </w:tcPr>
          <w:p>
            <w:pPr>
              <w:spacing w:lineRule="auto"/>
              <w:jc w:val="left"/>
            </w:pPr>
            <w:r>
              <w:rPr/>
              <w:t xml:space="preserve">30</w:t>
            </w:r>
          </w:p>
        </w:tc>
        <w:tc>
          <w:tcPr>
            <w:tcBorders>
              <w:bottom w:val="single" w:sz="8" w:space="0" w:color="000000"/>
              <w:right w:val="single" w:sz="8" w:space="0" w:color="000000"/>
            </w:tcBorders>
            <w:vAlign w:val="center"/>
          </w:tcPr>
          <w:p>
            <w:pPr>
              <w:spacing w:lineRule="auto"/>
              <w:jc w:val="left"/>
            </w:pPr>
            <w:r>
              <w:rPr/>
              <w:t xml:space="preserve">20</w:t>
            </w:r>
          </w:p>
        </w:tc>
        <w:tc>
          <w:tcPr>
            <w:tcBorders>
              <w:bottom w:val="single" w:sz="8" w:space="0" w:color="000000"/>
              <w:right w:val="single" w:sz="8" w:space="0" w:color="000000"/>
            </w:tcBorders>
            <w:vAlign w:val="center"/>
          </w:tcPr>
          <w:p>
            <w:pPr>
              <w:spacing w:lineRule="auto"/>
              <w:jc w:val="left"/>
            </w:pPr>
            <w:r>
              <w:rPr/>
              <w:t xml:space="preserve">0,5</w:t>
            </w:r>
          </w:p>
        </w:tc>
        <w:tc>
          <w:tcPr>
            <w:tcBorders>
              <w:bottom w:val="single" w:sz="8" w:space="0" w:color="000000"/>
              <w:right w:val="single" w:sz="8" w:space="0" w:color="000000"/>
            </w:tcBorders>
            <w:vAlign w:val="center"/>
          </w:tcPr>
          <w:p>
            <w:pPr>
              <w:spacing w:lineRule="auto"/>
              <w:jc w:val="left"/>
            </w:pPr>
            <w:r>
              <w:rPr/>
              <w:t xml:space="preserve">95</w:t>
            </w:r>
          </w:p>
        </w:tc>
      </w:tr>
    </w:tbl>
    <w:p>
      <w:pPr>
        <w:spacing w:lineRule="auto"/>
      </w:pPr>
    </w:p>
    <w:p>
      <w:pPr>
        <w:spacing w:after="220" w:lineRule="auto"/>
      </w:pPr>
      <w:r>
        <w:rPr>
          <w:rFonts w:eastAsia="Georgia" w:cs="Georgia" w:ascii="Georgia" w:hAnsi="Georgia"/>
        </w:rPr>
        <w:t xml:space="preserve">Document 4.b - Conditions opératoires et rendement </w:t>
      </w:r>
      <m:oMath>
        <m:r>
          <m:rPr>
            <m:sty m:val="i"/>
          </m:rPr>
          <m:t>r</m:t>
        </m:r>
      </m:oMath>
      <w:r>
        <w:rPr>
          <w:rFonts w:eastAsia="Georgia" w:cs="Georgia" w:ascii="Georgia" w:hAnsi="Georgia"/>
        </w:rPr>
        <w:t xml:space="preserve"> de l'oxydation d'alcools secondaires en cétone.</w:t>
      </w:r>
      <w:r>
        <w:rPr/>
        <w:br w:type="textWrapping"/>
      </w:r>
      <w:r>
        <w:rPr>
          <w:rFonts w:eastAsia="Georgia" w:cs="Georgia" w:ascii="Georgia" w:hAnsi="Georgia"/>
        </w:rPr>
        <w:t xml:space="preserve">33. À l'aide du document 2 , discuter en 10 lignes maximum des avantages de l'utilisation de l'hypochlorite solide au vu des inconvénients liés à l'utilisation d'hypochlorite en solution aqueuse discutés question (31).</w:t>
      </w:r>
    </w:p>
    <w:p>
      <w:pPr>
        <w:spacing w:after="220" w:lineRule="auto"/>
      </w:pPr>
      <w:r>
        <w:rPr>
          <w:rFonts w:eastAsia="Georgia" w:cs="Georgia" w:ascii="Georgia" w:hAnsi="Georgia"/>
        </w:rPr>
        <w:t xml:space="preserve">Le document 3 s'intéresse à l'oxydation de l'octan-2-ol en octan-2-one. Les spectres RMN </w:t>
      </w:r>
      <m:oMath>
        <m:sSup>
          <m:sSupPr/>
          <m:e>
            <m:r>
              <m:t xml:space="preserve"> </m:t>
            </m:r>
          </m:e>
          <m:sup>
            <m:r>
              <m:rPr>
                <m:sty m:val="p"/>
              </m:rPr>
              <m:t>1</m:t>
            </m:r>
          </m:sup>
        </m:sSup>
        <m:r>
          <m:rPr>
            <m:sty m:val="p"/>
          </m:rPr>
          <m:t>H</m:t>
        </m:r>
      </m:oMath>
      <w:r>
        <w:rPr>
          <w:rFonts w:eastAsia="Georgia" w:cs="Georgia" w:ascii="Georgia" w:hAnsi="Georgia"/>
        </w:rPr>
        <w:t xml:space="preserve"> des deux composés sont donnés en figure (7).</w:t>
      </w:r>
      <w:r>
        <w:rPr/>
        <w:br w:type="textWrapping"/>
      </w:r>
      <w:r>
        <w:rPr>
          <w:rFonts w:eastAsia="Georgia" w:cs="Georgia" w:ascii="Georgia" w:hAnsi="Georgia"/>
        </w:rPr>
        <w:t xml:space="preserve">34. Montrer, sans faire l'attribution exhaustive de tous les massifs observés sur la figure (7), que les spectres RMN </w:t>
      </w:r>
      <m:oMath>
        <m:sSup>
          <m:sSupPr/>
          <m:e>
            <m:r>
              <m:t xml:space="preserve"> </m:t>
            </m:r>
          </m:e>
          <m:sup>
            <m:r>
              <m:rPr>
                <m:sty m:val="p"/>
              </m:rPr>
              <m:t>1</m:t>
            </m:r>
          </m:sup>
        </m:sSup>
        <m:r>
          <m:rPr>
            <m:sty m:val="p"/>
          </m:rPr>
          <m:t>H</m:t>
        </m:r>
      </m:oMath>
      <w:r>
        <w:rPr>
          <w:rFonts w:eastAsia="Georgia" w:cs="Georgia" w:ascii="Georgia" w:hAnsi="Georgia"/>
        </w:rPr>
        <w:t xml:space="preserve"> permettent de confirmer l'oxydation de l'alcool en cétone.</w:t>
      </w:r>
      <w:r>
        <w:rPr/>
        <w:br w:type="textWrapping"/>
      </w:r>
      <w:r>
        <w:rPr>
          <w:rFonts w:eastAsia="Georgia" w:cs="Georgia" w:ascii="Georgia" w:hAnsi="Georgia"/>
        </w:rPr>
        <w:t xml:space="preserve">35. Rappeler la définition d'un catalyseur et justifier, en vous appuyant sur les résultats du document 3.a, l'emploi d'un catalyseur (soit du TEMPO, soit du 1-Me-AZADO) pour les expériences présentées dans les documents suivants.</w:t>
      </w:r>
      <w:r>
        <w:rPr/>
        <w:br w:type="textWrapping"/>
      </w:r>
      <w:r>
        <w:rPr>
          <w:rFonts w:eastAsia="Georgia" w:cs="Georgia" w:ascii="Georgia" w:hAnsi="Georgia"/>
        </w:rPr>
        <w:t xml:space="preserve">36. Discuter en 10 lignes maximum de l'intérêt d'utiliser l'hypochlorite de sodium solide plutôt que la solution conventionnelle à </w:t>
      </w:r>
      <m:oMath>
        <m:r>
          <m:rPr>
            <m:sty m:val="p"/>
          </m:rPr>
          <m:t>13</m:t>
        </m:r>
        <m:r>
          <m:rPr>
            <m:sty m:val="p"/>
          </m:rPr>
          <m:t>%</m:t>
        </m:r>
      </m:oMath>
      <w:r>
        <w:rPr>
          <w:rFonts w:eastAsia="Georgia" w:cs="Georgia" w:ascii="Georgia" w:hAnsi="Georgia"/>
        </w:rPr>
        <w:t xml:space="preserve"> au vu des résultats présentés dans le document 3 .</w:t>
      </w:r>
    </w:p>
    <w:p>
      <w:pPr>
        <w:spacing w:after="220" w:lineRule="auto"/>
      </w:pPr>
      <w:r>
        <w:rPr/>
        <w:t xml:space="preserve">L'utilisation du solide </w:t>
      </w:r>
      <m:oMath>
        <m:r>
          <m:rPr>
            <m:sty m:val="p"/>
          </m:rPr>
          <m:t>NaClO</m:t>
        </m:r>
        <m:r>
          <m:rPr>
            <m:sty m:val="p"/>
          </m:rPr>
          <m:t>⋅</m:t>
        </m:r>
        <m:r>
          <m:rPr>
            <m:sty m:val="p"/>
          </m:rPr>
          <m:t>5</m:t>
        </m:r>
        <m:sSub>
          <m:sSubPr/>
          <m:e>
            <m:r>
              <m:rPr>
                <m:sty m:val="p"/>
              </m:rPr>
              <m:t>H</m:t>
            </m:r>
          </m:e>
          <m:sub>
            <m:r>
              <m:rPr>
                <m:sty m:val="p"/>
              </m:rPr>
              <m:t>2</m:t>
            </m:r>
          </m:sub>
        </m:sSub>
        <m:r>
          <m:rPr>
            <m:sty m:val="p"/>
          </m:rPr>
          <m:t>O</m:t>
        </m:r>
      </m:oMath>
      <w:r>
        <w:rPr>
          <w:rFonts w:eastAsia="Georgia" w:cs="Georgia" w:ascii="Georgia" w:hAnsi="Georgia"/>
        </w:rPr>
        <w:t xml:space="preserve"> comme oxydant a ensuite été testée sur de nombreux alcools primaires et secondaires. Les résultats sont présentés sur le document 4 .</w:t>
      </w:r>
      <w:r>
        <w:rPr/>
        <w:br w:type="textWrapping"/>
      </w:r>
      <w:r>
        <w:rPr>
          <w:rFonts w:eastAsia="Georgia" w:cs="Georgia" w:ascii="Georgia" w:hAnsi="Georgia"/>
        </w:rPr>
        <w:t xml:space="preserve">37. Commenter alors l'intérêt (avantages et inconvénients) de l'hypochlorite de sodium solide comme oxydant des alcools au vu des résultats présentés dans le document 4 .</w:t>
      </w:r>
    </w:p>
    <w:p>
      <w:pPr>
        <w:spacing w:line="271" w:before="330" w:lineRule="auto"/>
      </w:pPr>
      <w:r>
        <w:rPr>
          <w:rFonts w:eastAsia="Georgia" w:cs="Georgia" w:ascii="Georgia" w:hAnsi="Georgia"/>
          <w:b/>
          <w:sz w:val="42"/>
        </w:rPr>
        <w:t xml:space="preserve">A Annexe : quelques données.</w:t>
      </w:r>
    </w:p>
    <w:p>
      <w:pPr>
        <w:numPr>
          <w:ilvl w:val="0"/>
          <w:numId w:val="27"/>
        </w:numPr>
        <w:spacing w:lineRule="auto"/>
      </w:pPr>
      <w:r>
        <w:rPr>
          <w:rFonts w:eastAsia="Georgia" w:cs="Georgia" w:ascii="Georgia" w:hAnsi="Georgia"/>
        </w:rPr>
        <w:t xml:space="preserve">À </w:t>
      </w:r>
      <m:oMath>
        <m:r>
          <m:rPr>
            <m:sty m:val="p"/>
          </m:rPr>
          <m:t>298</m:t>
        </m:r>
        <m:r>
          <m:rPr>
            <m:nor/>
          </m:rPr>
          <m:t xml:space="preserve"> </m:t>
        </m:r>
        <m:r>
          <m:rPr>
            <m:sty m:val="p"/>
          </m:rPr>
          <m:t>K</m:t>
        </m:r>
        <m:r>
          <m:rPr>
            <m:sty m:val="p"/>
          </m:rPr>
          <m:t>,</m:t>
        </m:r>
        <m:r>
          <m:rPr>
            <m:sty m:val="p"/>
          </m:rPr>
          <m:t>exp</m:t>
        </m:r>
        <m:r>
          <m:rPr>
            <m:sty m:val="p"/>
          </m:rPr>
          <m:t>⁡</m:t>
        </m:r>
        <m:d>
          <m:dPr>
            <m:begChr m:val="("/>
            <m:endChr m:val=")"/>
            <m:ctrlPr>
              <w:rPr>
                <w:rFonts w:ascii="Cambria Math" w:hAnsi="Cambria Math"/>
              </w:rPr>
            </m:ctrlPr>
          </m:dPr>
          <m:e>
            <m:f>
              <m:fPr>
                <m:ctrlPr>
                  <w:rPr>
                    <w:rFonts w:ascii="Cambria Math" w:hAnsi="Cambria Math"/>
                  </w:rPr>
                </m:ctrlPr>
              </m:fPr>
              <m:num>
                <m:r>
                  <m:rPr>
                    <m:sty m:val="i"/>
                  </m:rPr>
                  <m:t>F</m:t>
                </m:r>
              </m:num>
              <m:den>
                <m:r>
                  <m:rPr>
                    <m:sty m:val="i"/>
                  </m:rPr>
                  <m:t>R</m:t>
                </m:r>
                <m:r>
                  <m:rPr>
                    <m:sty m:val="i"/>
                  </m:rPr>
                  <m:t>T</m:t>
                </m:r>
              </m:den>
            </m:f>
          </m:e>
        </m:d>
        <m:r>
          <m:rPr>
            <m:sty m:val="p"/>
          </m:rPr>
          <m:t>≈</m:t>
        </m:r>
        <m:sSup>
          <m:sSupPr/>
          <m:e>
            <m:r>
              <m:rPr>
                <m:sty m:val="p"/>
              </m:rPr>
              <m:t>10</m:t>
            </m:r>
          </m:e>
          <m:sup>
            <m:r>
              <m:rPr>
                <m:sty m:val="p"/>
              </m:rPr>
              <m:t>17</m:t>
            </m:r>
          </m:sup>
        </m:sSup>
      </m:oMath>
    </w:p>
    <w:p>
      <w:pPr>
        <w:numPr>
          <w:ilvl w:val="0"/>
          <w:numId w:val="27"/>
        </w:numPr>
        <w:spacing w:lineRule="auto"/>
      </w:pPr>
      <w:r>
        <w:rPr/>
        <w:t xml:space="preserve">Longueurs de liaisons en phase gazeuse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Espèce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Cl</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Cl</m:t>
                    </m:r>
                  </m:e>
                  <m:sub>
                    <m:r>
                      <m:rPr>
                        <m:sty m:val="p"/>
                      </m:rPr>
                      <m:t>2</m:t>
                    </m:r>
                  </m:sub>
                </m:sSub>
                <m:sSup>
                  <m:sSupPr/>
                  <m:e>
                    <m:r>
                      <m:t xml:space="preserve"> </m:t>
                    </m:r>
                  </m:e>
                  <m:sup>
                    <m:r>
                      <m:rPr>
                        <m:sty m:val="p"/>
                      </m:rPr>
                      <m:t>+</m:t>
                    </m:r>
                  </m:sup>
                </m:s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d</m:t>
                    </m:r>
                  </m:e>
                  <m:sub>
                    <m:r>
                      <m:rPr>
                        <m:sty m:val="p"/>
                      </m:rPr>
                      <m:t>Cl</m:t>
                    </m:r>
                    <m:r>
                      <m:rPr>
                        <m:sty m:val="p"/>
                      </m:rPr>
                      <m:t>−</m:t>
                    </m:r>
                    <m:r>
                      <m:rPr>
                        <m:sty m:val="p"/>
                      </m:rPr>
                      <m:t>Cl</m:t>
                    </m:r>
                  </m:sub>
                </m:sSub>
                <m:r>
                  <m:rPr>
                    <m:sty m:val="p"/>
                  </m:rPr>
                  <m:t>(</m:t>
                </m:r>
                <m:r>
                  <m:rPr>
                    <m:sty m:val="p"/>
                  </m:rPr>
                  <m:t>pm</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198,8</w:t>
            </w:r>
          </w:p>
        </w:tc>
        <w:tc>
          <w:tcPr>
            <w:tcBorders>
              <w:bottom w:val="single" w:sz="8" w:space="0" w:color="000000"/>
              <w:right w:val="single" w:sz="8" w:space="0" w:color="000000"/>
            </w:tcBorders>
            <w:vAlign w:val="center"/>
          </w:tcPr>
          <w:p>
            <w:pPr>
              <w:spacing w:lineRule="auto"/>
              <w:jc w:val="center"/>
            </w:pPr>
            <w:r>
              <w:rPr/>
              <w:t xml:space="preserve">189,2</w:t>
            </w:r>
          </w:p>
        </w:tc>
      </w:tr>
    </w:tbl>
    <w:p>
      <w:pPr>
        <w:spacing w:lineRule="auto"/>
      </w:pPr>
    </w:p>
    <w:p>
      <w:pPr>
        <w:spacing w:lineRule="auto"/>
        <w:jc w:val="center"/>
      </w:pPr>
      <w:r>
        <w:rPr/>
        <w:drawing>
          <wp:inline distB="0" distL="0" distR="0" distT="0">
            <wp:extent cx="5486400" cy="8537682"/>
            <wp:effectExtent b="0" l="0" r="0" t="0"/>
            <wp:docPr id="46" name="image-9980bd431f4473227c54d85261bfa07c1646fb5c.jpg"/>
            <a:graphic>
              <a:graphicData uri="http://schemas.openxmlformats.org/drawingml/2006/picture">
                <pic:pic>
                  <pic:nvPicPr>
                    <pic:cNvPr id="46" name="image-9980bd431f4473227c54d85261bfa07c1646fb5c.jpg" descr=""/>
                    <pic:cNvPicPr/>
                  </pic:nvPicPr>
                  <pic:blipFill>
                    <a:blip r:embed="rId50" cstate="print"/>
                    <a:srcRect b="0" l="0" r="0" t="0"/>
                    <a:stretch>
                      <a:fillRect/>
                    </a:stretch>
                  </pic:blipFill>
                  <pic:spPr>
                    <a:xfrm>
                      <a:off x="0" y="0"/>
                      <a:ext cx="5486400" cy="8537682"/>
                    </a:xfrm>
                    <a:prstGeom prst="rect"/>
                  </pic:spPr>
                </pic:pic>
              </a:graphicData>
            </a:graphic>
          </wp:inline>
        </w:drawing>
      </w:r>
    </w:p>
    <w:p>
      <w:pPr>
        <w:spacing w:lineRule="auto"/>
      </w:pPr>
      <w:r>
        <w:rPr/>
        <w:t xml:space="preserve">Figure 7 - Spectres RMN </w:t>
      </w:r>
      <m:oMath>
        <m:sSup>
          <m:sSupPr/>
          <m:e>
            <m:r>
              <m:t xml:space="preserve"> </m:t>
            </m:r>
          </m:e>
          <m:sup>
            <m:r>
              <m:rPr>
                <m:sty m:val="p"/>
              </m:rPr>
              <m:t>1</m:t>
            </m:r>
          </m:sup>
        </m:sSup>
        <m:r>
          <m:rPr>
            <m:sty m:val="p"/>
          </m:rPr>
          <m:t>H</m:t>
        </m:r>
      </m:oMath>
      <w:r>
        <w:rPr/>
        <w:t xml:space="preserve"> de l'octan-2-ol et de l'octan-2-one.</w:t>
      </w:r>
    </w:p>
    <w:p>
      <w:pPr>
        <w:numPr>
          <w:ilvl w:val="0"/>
          <w:numId w:val="28"/>
        </w:numPr>
        <w:spacing w:lineRule="auto"/>
      </w:pPr>
      <w:r>
        <w:rPr>
          <w:rFonts w:eastAsia="Georgia" w:cs="Georgia" w:ascii="Georgia" w:hAnsi="Georgia"/>
        </w:rPr>
        <w:t xml:space="preserve">Énergies d'ionisation :</w:t>
      </w:r>
    </w:p>
    <w:tbl>
      <w:tblPr>
        <w:tblStyle w:val="TableGrid"/>
        <w:jc w:val="center"/>
        <w:tblCellSpacing w:w="0" w:type="dxa"/>
        <w:tblBorders/>
        <w:tblCellMar>
          <w:top w:type="dxa" w:w="80"/>
          <w:left w:type="dxa" w:w="160"/>
          <w:bottom w:type="dxa" w:w="80"/>
          <w:right w:type="dxa" w:w="160"/>
        </w:tblCellMar>
      </w:tblPr>
      <w:tblGrid>
        <w:gridCol w:w="2880"/>
        <w:gridCol w:w="2880"/>
        <w:gridCol w:w="2880"/>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rFonts w:eastAsia="Georgia" w:cs="Georgia" w:ascii="Georgia" w:hAnsi="Georgia"/>
              </w:rPr>
              <w:t xml:space="preserve">Espèce</w:t>
            </w:r>
          </w:p>
        </w:tc>
        <w:tc>
          <w:tcPr>
            <w:tcBorders>
              <w:top w:val="single" w:sz="8" w:space="0" w:color="000000"/>
              <w:bottom w:val="single" w:sz="8" w:space="0" w:color="000000"/>
              <w:right w:val="single" w:sz="8" w:space="0" w:color="000000"/>
            </w:tcBorders>
            <w:vAlign w:val="center"/>
          </w:tcPr>
          <w:p>
            <w:pPr>
              <w:spacing w:lineRule="auto"/>
              <w:jc w:val="center"/>
            </w:pPr>
            <w:r>
              <w:rPr/>
              <w:t xml:space="preserve">Cl</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Cl</m:t>
                    </m:r>
                  </m:e>
                  <m:sub>
                    <m:r>
                      <m:rPr>
                        <m:sty m:val="p"/>
                      </m:rPr>
                      <m:t>2</m:t>
                    </m:r>
                  </m:sub>
                </m:sSub>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i</m:t>
                    </m:r>
                    <m:r>
                      <m:rPr>
                        <m:sty m:val="p"/>
                      </m:rPr>
                      <m:t>,</m:t>
                    </m:r>
                    <m:r>
                      <m:rPr>
                        <m:sty m:val="p"/>
                      </m:rPr>
                      <m:t>1</m:t>
                    </m:r>
                  </m:sub>
                </m:sSub>
                <m:r>
                  <m:rPr>
                    <m:sty m:val="p"/>
                  </m:rPr>
                  <m:t>(</m:t>
                </m:r>
                <m:r>
                  <m:rPr>
                    <m:sty m:val="p"/>
                  </m:rPr>
                  <m:t>eV</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12,97</w:t>
            </w:r>
          </w:p>
        </w:tc>
        <w:tc>
          <w:tcPr>
            <w:tcBorders>
              <w:bottom w:val="single" w:sz="8" w:space="0" w:color="000000"/>
              <w:right w:val="single" w:sz="8" w:space="0" w:color="000000"/>
            </w:tcBorders>
            <w:vAlign w:val="center"/>
          </w:tcPr>
          <w:p>
            <w:pPr>
              <w:spacing w:lineRule="auto"/>
              <w:jc w:val="center"/>
            </w:pPr>
            <w:r>
              <w:rPr/>
              <w:t xml:space="preserve">11,48</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i</m:t>
                    </m:r>
                    <m:r>
                      <m:rPr>
                        <m:sty m:val="p"/>
                      </m:rPr>
                      <m:t>,</m:t>
                    </m:r>
                    <m:r>
                      <m:rPr>
                        <m:sty m:val="p"/>
                      </m:rPr>
                      <m:t>2</m:t>
                    </m:r>
                  </m:sub>
                </m:sSub>
                <m:r>
                  <m:rPr>
                    <m:sty m:val="p"/>
                  </m:rPr>
                  <m:t>(</m:t>
                </m:r>
                <m:r>
                  <m:rPr>
                    <m:sty m:val="p"/>
                  </m:rPr>
                  <m:t>eV</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23,81</w:t>
            </w:r>
          </w:p>
        </w:tc>
        <w:tc>
          <w:tcPr>
            <w:tcBorders>
              <w:bottom w:val="single" w:sz="8" w:space="0" w:color="000000"/>
              <w:right w:val="single" w:sz="8" w:space="0" w:color="000000"/>
            </w:tcBorders>
            <w:vAlign w:val="center"/>
          </w:tcPr>
          <w:p>
            <w:pPr>
              <w:spacing w:lineRule="auto"/>
              <w:jc w:val="center"/>
            </w:pPr>
            <w:r>
              <w:rPr/>
              <w:t xml:space="preserve">19,82</w:t>
            </w:r>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i"/>
                      </m:rPr>
                      <m:t>E</m:t>
                    </m:r>
                  </m:e>
                  <m:sub>
                    <m:r>
                      <m:rPr>
                        <m:sty m:val="p"/>
                      </m:rPr>
                      <m:t>ae</m:t>
                    </m:r>
                  </m:sub>
                </m:sSub>
                <m:r>
                  <m:rPr>
                    <m:sty m:val="p"/>
                  </m:rPr>
                  <m:t>(</m:t>
                </m:r>
                <m:r>
                  <m:rPr>
                    <m:sty m:val="p"/>
                  </m:rPr>
                  <m:t>eV</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3,61</w:t>
            </w:r>
          </w:p>
        </w:tc>
        <w:tc>
          <w:tcPr>
            <w:tcBorders>
              <w:bottom w:val="single" w:sz="8" w:space="0" w:color="000000"/>
              <w:right w:val="single" w:sz="8" w:space="0" w:color="000000"/>
            </w:tcBorders>
            <w:vAlign w:val="center"/>
          </w:tcPr>
          <w:p>
            <w:pPr>
              <w:spacing w:lineRule="auto"/>
              <w:jc w:val="center"/>
            </w:pPr>
            <w:r>
              <w:rPr/>
              <w:t xml:space="preserve">2,38</w:t>
            </w:r>
          </w:p>
        </w:tc>
      </w:tr>
    </w:tbl>
    <w:p>
      <w:pPr>
        <w:spacing w:lineRule="auto"/>
      </w:pPr>
    </w:p>
    <w:p>
      <w:pPr>
        <w:numPr>
          <w:ilvl w:val="0"/>
          <w:numId w:val="29"/>
        </w:numPr>
        <w:spacing w:lineRule="auto"/>
      </w:pPr>
      <w:r>
        <w:rPr>
          <w:rFonts w:eastAsia="Georgia" w:cs="Georgia" w:ascii="Georgia" w:hAnsi="Georgia"/>
        </w:rPr>
        <w:t xml:space="preserve">Énergie de dissociation du dichlore </w:t>
      </w:r>
      <m:oMath>
        <m:sSub>
          <m:sSubPr/>
          <m:e>
            <m:r>
              <m:rPr>
                <m:sty m:val="p"/>
              </m:rPr>
              <m:t>Cl</m:t>
            </m:r>
          </m:e>
          <m:sub>
            <m:r>
              <m:rPr>
                <m:sty m:val="p"/>
              </m:rPr>
              <m:t>2</m:t>
            </m:r>
          </m:sub>
        </m:sSub>
        <m:r>
          <m:rPr>
            <m:sty m:val="p"/>
          </m:rPr>
          <m:t>:</m:t>
        </m:r>
        <m:r>
          <m:rPr>
            <m:sty m:val="p"/>
          </m:rPr>
          <m:t>2</m:t>
        </m:r>
        <m:r>
          <m:rPr>
            <m:sty m:val="p"/>
          </m:rPr>
          <m:t>,</m:t>
        </m:r>
        <m:r>
          <m:rPr>
            <m:sty m:val="p"/>
          </m:rPr>
          <m:t>51</m:t>
        </m:r>
        <m:r>
          <m:rPr>
            <m:sty m:val="p"/>
          </m:rPr>
          <m:t>eV</m:t>
        </m:r>
      </m:oMath>
      <w:r>
        <w:rPr/>
        <w:t xml:space="preserve">.</w:t>
      </w:r>
    </w:p>
    <w:p>
      <w:pPr>
        <w:numPr>
          <w:ilvl w:val="0"/>
          <w:numId w:val="29"/>
        </w:numPr>
        <w:spacing w:lineRule="auto"/>
      </w:pPr>
      <w:r>
        <w:rPr>
          <w:rFonts w:eastAsia="Georgia" w:cs="Georgia" w:ascii="Georgia" w:hAnsi="Georgia"/>
        </w:rPr>
        <w:t xml:space="preserve">Potentiel standard des différentes espèces du chlore :</w:t>
      </w:r>
    </w:p>
    <w:tbl>
      <w:tblPr>
        <w:tblStyle w:val="TableGrid"/>
        <w:jc w:val="center"/>
        <w:tblCellSpacing w:w="0" w:type="dxa"/>
        <w:tblBorders/>
        <w:tblCellMar>
          <w:top w:type="dxa" w:w="80"/>
          <w:left w:type="dxa" w:w="160"/>
          <w:bottom w:type="dxa" w:w="80"/>
          <w:right w:type="dxa" w:w="160"/>
        </w:tblCellMar>
      </w:tblPr>
      <w:tblGrid>
        <w:gridCol w:w="1234"/>
        <w:gridCol w:w="1234"/>
        <w:gridCol w:w="1234"/>
        <w:gridCol w:w="1234"/>
        <w:gridCol w:w="1234"/>
        <w:gridCol w:w="1234"/>
        <w:gridCol w:w="1234"/>
      </w:tblGrid>
      <w:tr>
        <w:trPr>
          <w:cantSplit/>
        </w:trPr>
        <w:tc>
          <w:tcPr>
            <w:tcBorders>
              <w:top w:val="single" w:sz="8" w:space="0" w:color="000000"/>
              <w:left w:val="single" w:sz="8" w:space="0" w:color="000000"/>
              <w:bottom w:val="single" w:sz="8" w:space="0" w:color="000000"/>
              <w:right w:val="single" w:sz="8" w:space="0" w:color="000000"/>
            </w:tcBorders>
            <w:vAlign w:val="center"/>
          </w:tcPr>
          <w:p>
            <w:pPr>
              <w:spacing w:lineRule="auto"/>
              <w:jc w:val="center"/>
            </w:pPr>
            <w:r>
              <w:rPr/>
              <w:t xml:space="preserve">Couple</w:t>
            </w:r>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Cl</m:t>
                    </m:r>
                  </m:e>
                  <m:sub>
                    <m:r>
                      <m:rPr>
                        <m:sty m:val="p"/>
                      </m:rPr>
                      <m:t>2</m:t>
                    </m:r>
                  </m:sub>
                </m:sSub>
                <m:r>
                  <m:rPr>
                    <m:sty m:val="p"/>
                  </m:rPr>
                  <m:t>/</m:t>
                </m:r>
                <m:sSup>
                  <m:sSupPr/>
                  <m:e>
                    <m:r>
                      <m:rPr>
                        <m:sty m:val="p"/>
                      </m:rPr>
                      <m:t>Cl</m:t>
                    </m:r>
                  </m:e>
                  <m:sup>
                    <m:r>
                      <m:rPr>
                        <m:sty m:val="p"/>
                      </m:rPr>
                      <m:t>−</m:t>
                    </m:r>
                  </m:sup>
                </m:sSup>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HClO</m:t>
                    </m:r>
                  </m:e>
                  <m:sub>
                    <m:r>
                      <m:rPr>
                        <m:sty m:val="p"/>
                      </m:rPr>
                      <m:t>2</m:t>
                    </m:r>
                  </m:sub>
                </m:sSub>
                <m:r>
                  <m:rPr>
                    <m:sty m:val="p"/>
                  </m:rPr>
                  <m:t>/</m:t>
                </m:r>
                <m:sSub>
                  <m:sSubPr/>
                  <m:e>
                    <m:r>
                      <m:rPr>
                        <m:sty m:val="p"/>
                      </m:rPr>
                      <m:t>Cl</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HClO</m:t>
                    </m:r>
                  </m:e>
                  <m:sub>
                    <m:r>
                      <m:rPr>
                        <m:sty m:val="p"/>
                      </m:rPr>
                      <m:t>2</m:t>
                    </m:r>
                  </m:sub>
                </m:sSub>
                <m:r>
                  <m:rPr>
                    <m:sty m:val="p"/>
                  </m:rPr>
                  <m:t>/</m:t>
                </m:r>
                <m:r>
                  <m:rPr>
                    <m:sty m:val="p"/>
                  </m:rPr>
                  <m:t>HClO</m:t>
                </m:r>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
                  <m:sSubPr/>
                  <m:e>
                    <m:r>
                      <m:rPr>
                        <m:sty m:val="p"/>
                      </m:rPr>
                      <m:t>ClO</m:t>
                    </m:r>
                  </m:e>
                  <m:sub>
                    <m:r>
                      <m:rPr>
                        <m:sty m:val="p"/>
                      </m:rPr>
                      <m:t>2</m:t>
                    </m:r>
                  </m:sub>
                </m:sSub>
                <m:r>
                  <m:rPr>
                    <m:sty m:val="p"/>
                  </m:rPr>
                  <m:t>/</m:t>
                </m:r>
                <m:sSub>
                  <m:sSubPr/>
                  <m:e>
                    <m:r>
                      <m:rPr>
                        <m:sty m:val="p"/>
                      </m:rPr>
                      <m:t>HClO</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ClO</m:t>
                    </m:r>
                  </m:e>
                  <m:sub>
                    <m:r>
                      <m:rPr>
                        <m:sty m:val="p"/>
                      </m:rPr>
                      <m:t>3</m:t>
                    </m:r>
                  </m:sub>
                  <m:sup>
                    <m:r>
                      <m:rPr>
                        <m:sty m:val="p"/>
                      </m:rPr>
                      <m:t>−</m:t>
                    </m:r>
                  </m:sup>
                </m:sSubSup>
                <m:r>
                  <m:rPr>
                    <m:sty m:val="p"/>
                  </m:rPr>
                  <m:t>/</m:t>
                </m:r>
                <m:sSub>
                  <m:sSubPr/>
                  <m:e>
                    <m:r>
                      <m:rPr>
                        <m:sty m:val="p"/>
                      </m:rPr>
                      <m:t>ClO</m:t>
                    </m:r>
                  </m:e>
                  <m:sub>
                    <m:r>
                      <m:rPr>
                        <m:sty m:val="p"/>
                      </m:rPr>
                      <m:t>2</m:t>
                    </m:r>
                  </m:sub>
                </m:sSub>
              </m:oMath>
            </m:oMathPara>
          </w:p>
        </w:tc>
        <w:tc>
          <w:tcPr>
            <w:tcBorders>
              <w:top w:val="single" w:sz="8" w:space="0" w:color="000000"/>
              <w:bottom w:val="single" w:sz="8" w:space="0" w:color="000000"/>
              <w:right w:val="single" w:sz="8" w:space="0" w:color="000000"/>
            </w:tcBorders>
            <w:vAlign w:val="center"/>
          </w:tcPr>
          <w:p>
            <w:pPr>
              <w:spacing w:lineRule="auto"/>
              <w:jc w:val="center"/>
            </w:pPr>
            <m:oMathPara>
              <m:oMathParaPr>
                <m:jc m:val="center"/>
              </m:oMathParaPr>
              <m:oMath>
                <m:sSubSup>
                  <m:sSubSupPr/>
                  <m:e>
                    <m:r>
                      <m:rPr>
                        <m:sty m:val="p"/>
                      </m:rPr>
                      <m:t>ClO</m:t>
                    </m:r>
                  </m:e>
                  <m:sub>
                    <m:r>
                      <m:rPr>
                        <m:sty m:val="p"/>
                      </m:rPr>
                      <m:t>4</m:t>
                    </m:r>
                  </m:sub>
                  <m:sup>
                    <m:r>
                      <m:rPr>
                        <m:sty m:val="p"/>
                      </m:rPr>
                      <m:t>−</m:t>
                    </m:r>
                  </m:sup>
                </m:sSubSup>
                <m:r>
                  <m:rPr>
                    <m:sty m:val="p"/>
                  </m:rPr>
                  <m:t>/</m:t>
                </m:r>
                <m:sSubSup>
                  <m:sSubSupPr/>
                  <m:e>
                    <m:r>
                      <m:rPr>
                        <m:sty m:val="p"/>
                      </m:rPr>
                      <m:t>ClO</m:t>
                    </m:r>
                  </m:e>
                  <m:sub>
                    <m:r>
                      <m:rPr>
                        <m:sty m:val="p"/>
                      </m:rPr>
                      <m:t>3</m:t>
                    </m:r>
                  </m:sub>
                  <m:sup>
                    <m:r>
                      <m:rPr>
                        <m:sty m:val="p"/>
                      </m:rPr>
                      <m:t>−</m:t>
                    </m:r>
                  </m:sup>
                </m:sSubSup>
              </m:oMath>
            </m:oMathPara>
          </w:p>
        </w:tc>
      </w:tr>
      <w:tr>
        <w:trPr>
          <w:cantSplit/>
        </w:trPr>
        <w:tc>
          <w:tcPr>
            <w:tcBorders>
              <w:left w:val="single" w:sz="8" w:space="0" w:color="000000"/>
              <w:bottom w:val="single" w:sz="8" w:space="0" w:color="000000"/>
              <w:right w:val="single" w:sz="8" w:space="0" w:color="000000"/>
            </w:tcBorders>
            <w:vAlign w:val="center"/>
          </w:tcPr>
          <w:p>
            <w:pPr>
              <w:spacing w:lineRule="auto"/>
              <w:jc w:val="center"/>
            </w:pPr>
            <m:oMathPara>
              <m:oMathParaPr>
                <m:jc m:val="center"/>
              </m:oMathParaPr>
              <m:oMath>
                <m:sSup>
                  <m:sSupPr/>
                  <m:e>
                    <m:r>
                      <m:rPr>
                        <m:sty m:val="i"/>
                      </m:rPr>
                      <m:t>E</m:t>
                    </m:r>
                  </m:e>
                  <m:sup>
                    <m:r>
                      <m:rPr>
                        <m:sty m:val="p"/>
                      </m:rPr>
                      <m:t>∘</m:t>
                    </m:r>
                  </m:sup>
                </m:sSup>
                <m:r>
                  <m:rPr>
                    <m:sty m:val="p"/>
                  </m:rPr>
                  <m:t>(</m:t>
                </m:r>
                <m:r>
                  <m:rPr>
                    <m:sty m:val="p"/>
                  </m:rPr>
                  <m:t>V</m:t>
                </m:r>
                <m:r>
                  <m:rPr>
                    <m:sty m:val="p"/>
                  </m:rPr>
                  <m:t>/</m:t>
                </m:r>
                <m:r>
                  <m:rPr>
                    <m:sty m:val="p"/>
                  </m:rPr>
                  <m:t>ESH</m:t>
                </m:r>
                <m:r>
                  <m:rPr>
                    <m:sty m:val="p"/>
                  </m:rPr>
                  <m:t>)</m:t>
                </m:r>
              </m:oMath>
            </m:oMathPara>
          </w:p>
        </w:tc>
        <w:tc>
          <w:tcPr>
            <w:tcBorders>
              <w:bottom w:val="single" w:sz="8" w:space="0" w:color="000000"/>
              <w:right w:val="single" w:sz="8" w:space="0" w:color="000000"/>
            </w:tcBorders>
            <w:vAlign w:val="center"/>
          </w:tcPr>
          <w:p>
            <w:pPr>
              <w:spacing w:lineRule="auto"/>
              <w:jc w:val="center"/>
            </w:pPr>
            <w:r>
              <w:rPr/>
              <w:t xml:space="preserve">1,358</w:t>
            </w:r>
          </w:p>
        </w:tc>
        <w:tc>
          <w:tcPr>
            <w:tcBorders>
              <w:bottom w:val="single" w:sz="8" w:space="0" w:color="000000"/>
              <w:right w:val="single" w:sz="8" w:space="0" w:color="000000"/>
            </w:tcBorders>
            <w:vAlign w:val="center"/>
          </w:tcPr>
          <w:p>
            <w:pPr>
              <w:spacing w:lineRule="auto"/>
              <w:jc w:val="center"/>
            </w:pPr>
            <w:r>
              <w:rPr/>
              <w:t xml:space="preserve">1,630</w:t>
            </w:r>
          </w:p>
        </w:tc>
        <w:tc>
          <w:tcPr>
            <w:tcBorders>
              <w:bottom w:val="single" w:sz="8" w:space="0" w:color="000000"/>
              <w:right w:val="single" w:sz="8" w:space="0" w:color="000000"/>
            </w:tcBorders>
            <w:vAlign w:val="center"/>
          </w:tcPr>
          <w:p>
            <w:pPr>
              <w:spacing w:lineRule="auto"/>
              <w:jc w:val="center"/>
            </w:pPr>
            <w:r>
              <w:rPr/>
              <w:t xml:space="preserve">1,674</w:t>
            </w:r>
          </w:p>
        </w:tc>
        <w:tc>
          <w:tcPr>
            <w:tcBorders>
              <w:bottom w:val="single" w:sz="8" w:space="0" w:color="000000"/>
              <w:right w:val="single" w:sz="8" w:space="0" w:color="000000"/>
            </w:tcBorders>
            <w:vAlign w:val="center"/>
          </w:tcPr>
          <w:p>
            <w:pPr>
              <w:spacing w:lineRule="auto"/>
              <w:jc w:val="center"/>
            </w:pPr>
            <w:r>
              <w:rPr/>
              <w:t xml:space="preserve">1,188</w:t>
            </w:r>
          </w:p>
        </w:tc>
        <w:tc>
          <w:tcPr>
            <w:tcBorders>
              <w:bottom w:val="single" w:sz="8" w:space="0" w:color="000000"/>
              <w:right w:val="single" w:sz="8" w:space="0" w:color="000000"/>
            </w:tcBorders>
            <w:vAlign w:val="center"/>
          </w:tcPr>
          <w:p>
            <w:pPr>
              <w:spacing w:lineRule="auto"/>
              <w:jc w:val="center"/>
            </w:pPr>
            <w:r>
              <w:rPr/>
              <w:t xml:space="preserve">1,175</w:t>
            </w:r>
          </w:p>
        </w:tc>
        <w:tc>
          <w:tcPr>
            <w:tcBorders>
              <w:bottom w:val="single" w:sz="8" w:space="0" w:color="000000"/>
              <w:right w:val="single" w:sz="8" w:space="0" w:color="000000"/>
            </w:tcBorders>
            <w:vAlign w:val="center"/>
          </w:tcPr>
          <w:p>
            <w:pPr>
              <w:spacing w:lineRule="auto"/>
              <w:jc w:val="center"/>
            </w:pPr>
            <w:r>
              <w:rPr/>
              <w:t xml:space="preserve">1,201</w:t>
            </w:r>
          </w:p>
        </w:tc>
      </w:tr>
    </w:tbl>
    <w:p>
      <w:pPr>
        <w:spacing w:lineRule="auto"/>
      </w:pPr>
    </w:p>
    <w:p>
      <w:pPr>
        <w:spacing w:after="220" w:lineRule="auto"/>
      </w:pPr>
      <m:oMathPara>
        <m:oMathParaPr>
          <m:jc m:val="left"/>
        </m:oMathParaPr>
        <m:oMath>
          <m:sSup>
            <m:sSupPr/>
            <m:e>
              <m:r>
                <m:rPr>
                  <m:sty m:val="i"/>
                </m:rPr>
                <m:t>E</m:t>
              </m:r>
            </m:e>
            <m:sup>
              <m:r>
                <m:rPr>
                  <m:sty m:val="p"/>
                </m:rPr>
                <m:t>∘</m:t>
              </m:r>
            </m:sup>
          </m:sSup>
          <m:d>
            <m:dPr>
              <m:begChr m:val="("/>
              <m:endChr m:val=")"/>
              <m:ctrlPr>
                <w:rPr>
                  <w:rFonts w:ascii="Cambria Math" w:hAnsi="Cambria Math"/>
                </w:rPr>
              </m:ctrlPr>
            </m:dPr>
            <m:e>
              <m:sSub>
                <m:sSubPr/>
                <m:e>
                  <m:r>
                    <m:rPr>
                      <m:sty m:val="p"/>
                    </m:rPr>
                    <m:t>ClO</m:t>
                  </m:r>
                </m:e>
                <m:sub>
                  <m:r>
                    <m:rPr>
                      <m:sty m:val="p"/>
                    </m:rPr>
                    <m:t>3</m:t>
                  </m:r>
                </m:sub>
              </m:sSub>
              <m:sSup>
                <m:sSupPr/>
                <m:e>
                  <m:r>
                    <m:t xml:space="preserve"> </m:t>
                  </m:r>
                </m:e>
                <m:sup>
                  <m:r>
                    <m:rPr>
                      <m:sty m:val="p"/>
                    </m:rPr>
                    <m:t>−</m:t>
                  </m:r>
                </m:sup>
              </m:sSup>
              <m:r>
                <m:rPr>
                  <m:sty m:val="p"/>
                </m:rPr>
                <m:t>/</m:t>
              </m:r>
              <m:sSup>
                <m:sSupPr/>
                <m:e>
                  <m:r>
                    <m:rPr>
                      <m:sty m:val="p"/>
                    </m:rPr>
                    <m:t>Cl</m:t>
                  </m:r>
                </m:e>
                <m:sup>
                  <m:r>
                    <m:rPr>
                      <m:sty m:val="p"/>
                    </m:rPr>
                    <m:t>−</m:t>
                  </m:r>
                </m:sup>
              </m:sSup>
            </m:e>
          </m:d>
          <m:r>
            <m:rPr>
              <m:sty m:val="p"/>
            </m:rPr>
            <m:t>=</m:t>
          </m:r>
          <m:r>
            <m:rPr>
              <m:sty m:val="p"/>
            </m:rPr>
            <m:t>1</m:t>
          </m:r>
          <m:r>
            <m:rPr>
              <m:sty m:val="p"/>
            </m:rPr>
            <m:t>,</m:t>
          </m:r>
          <m:r>
            <m:rPr>
              <m:sty m:val="p"/>
            </m:rPr>
            <m:t>450</m:t>
          </m:r>
          <m:r>
            <m:rPr>
              <m:nor/>
            </m:rPr>
            <m:t xml:space="preserve"> </m:t>
          </m:r>
          <m:r>
            <m:rPr>
              <m:sty m:val="p"/>
            </m:rPr>
            <m:t>V</m:t>
          </m:r>
          <m:r>
            <m:rPr>
              <m:sty m:val="p"/>
            </m:rPr>
            <m:t>/</m:t>
          </m:r>
          <m:r>
            <m:rPr>
              <m:sty m:val="p"/>
            </m:rPr>
            <m:t>ESH</m:t>
          </m:r>
        </m:oMath>
      </m:oMathPara>
      <w:r>
        <w:rPr/>
        <w:br w:type="textWrapping"/>
      </w:r>
      <w:r>
        <w:rPr>
          <w:rFonts w:eastAsia="Georgia" w:cs="Georgia" w:ascii="Georgia" w:hAnsi="Georgia"/>
        </w:rPr>
        <w:t xml:space="preserve">Les données spectroscopiques indiquées pour la RMN </w:t>
      </w:r>
      <m:oMath>
        <m:sSup>
          <m:sSupPr/>
          <m:e>
            <m:r>
              <m:t xml:space="preserve"> </m:t>
            </m:r>
          </m:e>
          <m:sup>
            <m:r>
              <m:rPr>
                <m:sty m:val="p"/>
              </m:rPr>
              <m:t>1</m:t>
            </m:r>
          </m:sup>
        </m:sSup>
        <m:r>
          <m:rPr>
            <m:sty m:val="p"/>
          </m:rPr>
          <m:t>H</m:t>
        </m:r>
      </m:oMath>
      <w:r>
        <w:rPr>
          <w:rFonts w:eastAsia="Georgia" w:cs="Georgia" w:ascii="Georgia" w:hAnsi="Georgia"/>
        </w:rPr>
        <w:t xml:space="preserve"> correspondent aux déplacements chimiques. Les dépla- cements sont des déplacements moyens donnés à titre indicatif et peuvent varier selon les molécules.</w:t>
      </w:r>
      <w:r>
        <w:rPr/>
        <w:br w:type="textWrapping"/>
      </w:r>
    </w:p>
    <w:p>
      <w:pPr>
        <w:spacing w:lineRule="auto"/>
        <w:jc w:val="center"/>
      </w:pPr>
      <w:r>
        <w:rPr/>
        <w:drawing>
          <wp:inline distB="0" distL="0" distR="0" distT="0">
            <wp:extent cx="5486400" cy="765544"/>
            <wp:effectExtent b="0" l="0" r="0" t="0"/>
            <wp:docPr id="47" name="image-56fc53c99c58ce5c90e1a1261a6fa8c448f40899.jpg"/>
            <a:graphic>
              <a:graphicData uri="http://schemas.openxmlformats.org/drawingml/2006/picture">
                <pic:pic>
                  <pic:nvPicPr>
                    <pic:cNvPr id="47" name="image-56fc53c99c58ce5c90e1a1261a6fa8c448f40899.jpg" descr=""/>
                    <pic:cNvPicPr/>
                  </pic:nvPicPr>
                  <pic:blipFill>
                    <a:blip r:embed="rId51" cstate="print"/>
                    <a:srcRect b="0" l="0" r="0" t="0"/>
                    <a:stretch>
                      <a:fillRect/>
                    </a:stretch>
                  </pic:blipFill>
                  <pic:spPr>
                    <a:xfrm>
                      <a:off x="0" y="0"/>
                      <a:ext cx="5486400" cy="765544"/>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830360"/>
            <wp:effectExtent b="0" l="0" r="0" t="0"/>
            <wp:docPr id="48" name="image-ebfb16741a6e9a6230ffe3a291caf1f6f3912098.jpg"/>
            <a:graphic>
              <a:graphicData uri="http://schemas.openxmlformats.org/drawingml/2006/picture">
                <pic:pic>
                  <pic:nvPicPr>
                    <pic:cNvPr id="48" name="image-ebfb16741a6e9a6230ffe3a291caf1f6f3912098.jpg" descr=""/>
                    <pic:cNvPicPr/>
                  </pic:nvPicPr>
                  <pic:blipFill>
                    <a:blip r:embed="rId52" cstate="print"/>
                    <a:srcRect b="0" l="0" r="0" t="0"/>
                    <a:stretch>
                      <a:fillRect/>
                    </a:stretch>
                  </pic:blipFill>
                  <pic:spPr>
                    <a:xfrm>
                      <a:off x="0" y="0"/>
                      <a:ext cx="5486400" cy="3830360"/>
                    </a:xfrm>
                    <a:prstGeom prst="rect"/>
                  </pic:spPr>
                </pic:pic>
              </a:graphicData>
            </a:graphic>
          </wp:inline>
        </w:drawing>
      </w:r>
    </w:p>
    <w:p>
      <w:pPr>
        <w:spacing w:after="220" w:lineRule="auto"/>
      </w:pPr>
      <w:r>
        <w:rPr>
          <w:rFonts w:eastAsia="Georgia" w:cs="Georgia" w:ascii="Georgia" w:hAnsi="Georgia"/>
        </w:rPr>
        <w:t xml:space="preserve">Les signaux correspondant aux protons des groupements hydroxyles (-OH) ne sont pas toujours observés en RMN </w:t>
      </w:r>
      <m:oMath>
        <m:sSup>
          <m:sSupPr/>
          <m:e>
            <m:r>
              <m:t xml:space="preserve"> </m:t>
            </m:r>
          </m:e>
          <m:sup>
            <m:r>
              <m:rPr>
                <m:sty m:val="p"/>
              </m:rPr>
              <m:t>1</m:t>
            </m:r>
          </m:sup>
        </m:sSup>
        <m:r>
          <m:rPr>
            <m:sty m:val="p"/>
          </m:rPr>
          <m:t>H</m:t>
        </m:r>
      </m:oMath>
      <w:r>
        <w:rPr/>
        <w:t xml:space="preserve">.</w:t>
      </w:r>
      <w:r>
        <w:rPr/>
        <w:br w:type="textWrapping"/>
      </w:r>
    </w:p>
    <w:p>
      <w:pPr>
        <w:spacing w:lineRule="auto"/>
        <w:jc w:val="center"/>
      </w:pPr>
      <w:r>
        <w:rPr/>
        <w:drawing>
          <wp:inline distB="0" distL="0" distR="0" distT="0">
            <wp:extent cx="1371600" cy="771525"/>
            <wp:effectExtent b="0" l="0" r="0" t="0"/>
            <wp:docPr id="49" name="image-cb059d6b1ec5a4a253a17f4d0d1a3a92d23550fb.jpg"/>
            <a:graphic>
              <a:graphicData uri="http://schemas.openxmlformats.org/drawingml/2006/picture">
                <pic:pic>
                  <pic:nvPicPr>
                    <pic:cNvPr id="49" name="image-cb059d6b1ec5a4a253a17f4d0d1a3a92d23550fb.jpg" descr=""/>
                    <pic:cNvPicPr/>
                  </pic:nvPicPr>
                  <pic:blipFill>
                    <a:blip r:embed="rId53" cstate="print"/>
                    <a:srcRect b="0" l="0" r="0" t="0"/>
                    <a:stretch>
                      <a:fillRect/>
                    </a:stretch>
                  </pic:blipFill>
                  <pic:spPr>
                    <a:xfrm>
                      <a:off x="0" y="0"/>
                      <a:ext cx="1371600" cy="771525"/>
                    </a:xfrm>
                    <a:prstGeom prst="rect"/>
                  </pic:spPr>
                </pic:pic>
              </a:graphicData>
            </a:graphic>
          </wp:inline>
        </w:drawing>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decimal"/>
      <w:lvlText w:val="%1."/>
      <w:lvlJc w:val="left"/>
      <w:pPr>
        <w:tabs>
          <w:tab w:val="num" w:pos="1080"/>
        </w:tabs>
        <w:ind w:left="720" w:hanging="360"/>
      </w:p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9"/>
      <w:numFmt w:val="decimal"/>
      <w:lvlText w:val="%1."/>
      <w:lvlJc w:val="left"/>
      <w:pPr>
        <w:tabs>
          <w:tab w:val="num" w:pos="1080"/>
        </w:tabs>
        <w:ind w:left="720" w:hanging="360"/>
      </w:p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1"/>
      <w:numFmt w:val="decimal"/>
      <w:lvlText w:val="%1."/>
      <w:lvlJc w:val="left"/>
      <w:pPr>
        <w:tabs>
          <w:tab w:val="num" w:pos="1080"/>
        </w:tabs>
        <w:ind w:left="720" w:hanging="360"/>
      </w:p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8"/>
      <w:numFmt w:val="decimal"/>
      <w:lvlText w:val="%1."/>
      <w:lvlJc w:val="left"/>
      <w:pPr>
        <w:tabs>
          <w:tab w:val="num" w:pos="1080"/>
        </w:tabs>
        <w:ind w:left="720" w:hanging="360"/>
      </w:pPr>
    </w:lvl>
  </w:abstractNum>
  <w:abstractNum w:abstractNumId="10">
    <w:multiLevelType w:val="hybridMultilevel"/>
    <w:lvl w:ilvl="0">
      <w:start w:val="23"/>
      <w:numFmt w:val="decimal"/>
      <w:lvlText w:val="%1."/>
      <w:lvlJc w:val="left"/>
      <w:pPr>
        <w:tabs>
          <w:tab w:val="num" w:pos="1080"/>
        </w:tabs>
        <w:ind w:left="720" w:hanging="360"/>
      </w:pPr>
    </w:lvl>
  </w:abstractNum>
  <w:abstractNum w:abstractNumId="11">
    <w:multiLevelType w:val="hybridMultilevel"/>
    <w:lvl w:ilvl="0">
      <w:start w:val="24"/>
      <w:numFmt w:val="decimal"/>
      <w:lvlText w:val="%1."/>
      <w:lvlJc w:val="left"/>
      <w:pPr>
        <w:tabs>
          <w:tab w:val="num" w:pos="1080"/>
        </w:tabs>
        <w:ind w:left="720" w:hanging="360"/>
      </w:p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lvl w:ilvl="0">
      <w:start w:val="26"/>
      <w:numFmt w:val="decimal"/>
      <w:lvlText w:val="%1."/>
      <w:lvlJc w:val="left"/>
      <w:pPr>
        <w:tabs>
          <w:tab w:val="num" w:pos="1080"/>
        </w:tabs>
        <w:ind w:left="720" w:hanging="360"/>
      </w:pPr>
    </w:lvl>
  </w:abstractNum>
  <w:abstractNum w:abstractNumId="14">
    <w:multiLevelType w:val="hybridMultilevel"/>
    <w:lvl w:ilvl="0">
      <w:start w:val="1"/>
      <w:numFmt w:val="decimal"/>
      <w:lvlText w:val="%1."/>
      <w:lvlJc w:val="left"/>
      <w:pPr>
        <w:tabs>
          <w:tab w:val="num" w:pos="1080"/>
        </w:tabs>
        <w:ind w:left="720" w:hanging="360"/>
      </w:pPr>
    </w:lvl>
  </w:abstractNum>
  <w:abstractNum w:abstractNumId="15">
    <w:multiLevelType w:val="hybridMultilevel"/>
    <w:lvl w:ilvl="0">
      <w:start w:val="7"/>
      <w:numFmt w:val="decimal"/>
      <w:lvlText w:val="%1."/>
      <w:lvlJc w:val="left"/>
      <w:pPr>
        <w:tabs>
          <w:tab w:val="num" w:pos="1080"/>
        </w:tabs>
        <w:ind w:left="720" w:hanging="360"/>
      </w:pPr>
    </w:lvl>
  </w:abstractNum>
  <w:abstractNum w:abstractNumId="16">
    <w:multiLevelType w:val="hybridMultilevel"/>
    <w:lvl w:ilvl="0">
      <w:start w:val="8"/>
      <w:numFmt w:val="decimal"/>
      <w:lvlText w:val="%1."/>
      <w:lvlJc w:val="left"/>
      <w:pPr>
        <w:tabs>
          <w:tab w:val="num" w:pos="1080"/>
        </w:tabs>
        <w:ind w:left="720" w:hanging="360"/>
      </w:pPr>
    </w:lvl>
  </w:abstractNum>
  <w:abstractNum w:abstractNumId="17">
    <w:multiLevelType w:val="hybridMultilevel"/>
    <w:lvl w:ilvl="0">
      <w:start w:val="15"/>
      <w:numFmt w:val="decimal"/>
      <w:lvlText w:val="%1."/>
      <w:lvlJc w:val="left"/>
      <w:pPr>
        <w:tabs>
          <w:tab w:val="num" w:pos="1080"/>
        </w:tabs>
        <w:ind w:left="720" w:hanging="360"/>
      </w:pPr>
    </w:lvl>
  </w:abstractNum>
  <w:abstractNum w:abstractNumId="18">
    <w:multiLevelType w:val="hybridMultilevel"/>
    <w:lvl w:ilvl="0">
      <w:start w:val="16"/>
      <w:numFmt w:val="decimal"/>
      <w:lvlText w:val="%1."/>
      <w:lvlJc w:val="left"/>
      <w:pPr>
        <w:tabs>
          <w:tab w:val="num" w:pos="1080"/>
        </w:tabs>
        <w:ind w:left="720" w:hanging="360"/>
      </w:pPr>
    </w:lvl>
  </w:abstractNum>
  <w:abstractNum w:abstractNumId="19">
    <w:multiLevelType w:val="hybridMultilevel"/>
    <w:lvl w:ilvl="0">
      <w:start w:val="17"/>
      <w:numFmt w:val="decimal"/>
      <w:lvlText w:val="%1."/>
      <w:lvlJc w:val="left"/>
      <w:pPr>
        <w:tabs>
          <w:tab w:val="num" w:pos="1080"/>
        </w:tabs>
        <w:ind w:left="720" w:hanging="360"/>
      </w:pPr>
    </w:lvl>
  </w:abstractNum>
  <w:abstractNum w:abstractNumId="20">
    <w:multiLevelType w:val="hybridMultilevel"/>
    <w:lvl w:ilvl="0">
      <w:start w:val="19"/>
      <w:numFmt w:val="decimal"/>
      <w:lvlText w:val="%1."/>
      <w:lvlJc w:val="left"/>
      <w:pPr>
        <w:tabs>
          <w:tab w:val="num" w:pos="1080"/>
        </w:tabs>
        <w:ind w:left="720" w:hanging="360"/>
      </w:pPr>
    </w:lvl>
  </w:abstractNum>
  <w:abstractNum w:abstractNumId="2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2">
    <w:multiLevelType w:val="hybridMultilevel"/>
    <w:lvl w:ilvl="0">
      <w:start w:val="23"/>
      <w:numFmt w:val="decimal"/>
      <w:lvlText w:val="%1."/>
      <w:lvlJc w:val="left"/>
      <w:pPr>
        <w:tabs>
          <w:tab w:val="num" w:pos="1080"/>
        </w:tabs>
        <w:ind w:left="720" w:hanging="360"/>
      </w:pPr>
    </w:lvl>
  </w:abstractNum>
  <w:abstractNum w:abstractNumId="23">
    <w:multiLevelType w:val="hybridMultilevel"/>
    <w:lvl w:ilvl="0">
      <w:start w:val="24"/>
      <w:numFmt w:val="decimal"/>
      <w:lvlText w:val="%1."/>
      <w:lvlJc w:val="left"/>
      <w:pPr>
        <w:tabs>
          <w:tab w:val="num" w:pos="1080"/>
        </w:tabs>
        <w:ind w:left="720" w:hanging="360"/>
      </w:pPr>
    </w:lvl>
  </w:abstractNum>
  <w:abstractNum w:abstractNumId="24">
    <w:multiLevelType w:val="hybridMultilevel"/>
    <w:lvl w:ilvl="0">
      <w:start w:val="29"/>
      <w:numFmt w:val="decimal"/>
      <w:lvlText w:val="%1."/>
      <w:lvlJc w:val="left"/>
      <w:pPr>
        <w:tabs>
          <w:tab w:val="num" w:pos="1080"/>
        </w:tabs>
        <w:ind w:left="720" w:hanging="360"/>
      </w:pPr>
    </w:lvl>
  </w:abstractNum>
  <w:abstractNum w:abstractNumId="2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6">
    <w:multiLevelType w:val="hybridMultilevel"/>
    <w:lvl w:ilvl="0">
      <w:start w:val="31"/>
      <w:numFmt w:val="decimal"/>
      <w:lvlText w:val="%1."/>
      <w:lvlJc w:val="left"/>
      <w:pPr>
        <w:tabs>
          <w:tab w:val="num" w:pos="1080"/>
        </w:tabs>
        <w:ind w:left="720" w:hanging="360"/>
      </w:pPr>
    </w:lvl>
  </w:abstractNum>
  <w:abstractNum w:abstractNumId="2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9">
    <w:multiLevelType w:val="hybridMultilevel"/>
    <w:lvl w:ilvl="0">
      <w:start w:val="1"/>
      <w:numFmt w:val="bullet"/>
      <w:lvlText w:val=""/>
      <w:lvlJc w:val="left"/>
      <w:pPr>
        <w:tabs>
          <w:tab w:val="num" w:pos="1080"/>
        </w:tabs>
        <w:ind w:left="720" w:hanging="360"/>
      </w:pPr>
      <w:rPr>
        <w:rFonts w:ascii="Symbol" w:hAnsi="Symbol"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 w:type="table" w:default="1" w:styleId="TableNormal">
    <w:name w:val="Normal Table"/>
    <w:uiPriority w:val="99"/>
    <w:semiHidden/>
    <w:unhideWhenUsed/>
    <w:tblPr>
      <w:tblInd w:w="0" w:type="dxa"/>
      <w:tblCellMar>
        <w:top w:w="80" w:type="dxa"/>
        <w:left w:w="160" w:type="dxa"/>
        <w:bottom w:w="80" w:type="dxa"/>
        <w:right w:w="160" w:type="dxa"/>
      </w:tblCellMar>
    </w:tblPr>
  </w:style>
  <w:style w:type="table" w:styleId="TableGrid">
    <w:name w:val="Normal Grid"/>
    <w:basedOn w:val="TableNormal"/>
    <w:uiPriority w:val="39"/>
    <w:pPr>
      <w:spacing w:after="0" w:line="240" w:lineRule="auto"/>
    </w:pPr>
    <w:tblPr>
      <w:tblInd w:w="0" w:type="dxa"/>
      <w:tblCellMar>
        <w:top w:w="80" w:type="dxa"/>
        <w:left w:w="160" w:type="dxa"/>
        <w:bottom w:w="80" w:type="dxa"/>
        <w:right w:w="160" w:type="dxa"/>
      </w:tblCellMar>
    </w:tbl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4f38d2b14c9209211b7ad061770c2ab530a6a22.jpg" TargetMode="Internal"/><Relationship Id="rId6" Type="http://schemas.openxmlformats.org/officeDocument/2006/relationships/image" Target="media/image-7cad3ec9682909c3155b780d4e1bdfd8f4e0295c.jpg" TargetMode="Internal"/><Relationship Id="rId7" Type="http://schemas.openxmlformats.org/officeDocument/2006/relationships/image" Target="media/image-75873b0d28512380aaa67c001206027952db450a.jpg" TargetMode="Internal"/><Relationship Id="rId8" Type="http://schemas.openxmlformats.org/officeDocument/2006/relationships/image" Target="media/image-a9ba1c35d2423ffa5cd229c9b996151739ac7c23.jpg" TargetMode="Internal"/><Relationship Id="rId9" Type="http://schemas.openxmlformats.org/officeDocument/2006/relationships/image" Target="media/image-57749042108bdc88d6286078370e97cb43b455cb.jpg" TargetMode="Internal"/><Relationship Id="rId10" Type="http://schemas.openxmlformats.org/officeDocument/2006/relationships/image" Target="media/image-6865c742c1e462619c2956233f51645698e5e1ae.jpg" TargetMode="Internal"/><Relationship Id="rId11" Type="http://schemas.openxmlformats.org/officeDocument/2006/relationships/image" Target="media/image-68ea2daa2daa3ff8903f7ad67588da522ffc631a.jpg" TargetMode="Internal"/><Relationship Id="rId12" Type="http://schemas.openxmlformats.org/officeDocument/2006/relationships/image" Target="media/image-9dc8ec58b3d32b4dc73ed71f8d8e97b93845789e.jpg" TargetMode="Internal"/><Relationship Id="rId13" Type="http://schemas.openxmlformats.org/officeDocument/2006/relationships/image" Target="media/image-11e58dc83f8650db0019e6b5adb4b4a9c50c3b43.jpg" TargetMode="Internal"/><Relationship Id="rId14" Type="http://schemas.openxmlformats.org/officeDocument/2006/relationships/image" Target="media/image-64d370dacb8bba16b5fbbecd6c19bb0720b4ce22.jpg" TargetMode="Internal"/><Relationship Id="rId15" Type="http://schemas.openxmlformats.org/officeDocument/2006/relationships/image" Target="media/image-e09c38d82af1a76078bf7a15cbc1b15bf8aca989.jpg" TargetMode="Internal"/><Relationship Id="rId16" Type="http://schemas.openxmlformats.org/officeDocument/2006/relationships/image" Target="media/image-fcba36de964f09db902af8d277426f0700759c3f.jpg" TargetMode="Internal"/><Relationship Id="rId17" Type="http://schemas.openxmlformats.org/officeDocument/2006/relationships/image" Target="media/image-03b46b9977ad083424fa94d5256c42f68c582090.jpg" TargetMode="Internal"/><Relationship Id="rId18" Type="http://schemas.openxmlformats.org/officeDocument/2006/relationships/image" Target="media/image-f12bff332c15d4d82ddb6caf47d63cc044ef6d9c.jpg" TargetMode="Internal"/><Relationship Id="rId19" Type="http://schemas.openxmlformats.org/officeDocument/2006/relationships/image" Target="media/image-f4d8a24f8b6dbea78d42e18d7b6db608a0005fef.jpg" TargetMode="Internal"/><Relationship Id="rId20" Type="http://schemas.openxmlformats.org/officeDocument/2006/relationships/image" Target="media/image-svg-d8f20eb462d0402b40558dc4c02d3a444bf561b7.svg" TargetMode="Internal"/><Relationship Id="rId21" Type="http://schemas.openxmlformats.org/officeDocument/2006/relationships/image" Target="media/image-svg-d8f20eb462d0402b40558dc4c02d3a444bf561b7.png" TargetMode="Internal"/><Relationship Id="rId22" Type="http://schemas.openxmlformats.org/officeDocument/2006/relationships/image" Target="media/image-svg-433df413822ec2170d8cfb7fdaf5ba7b6d59816b.svg" TargetMode="Internal"/><Relationship Id="rId23" Type="http://schemas.openxmlformats.org/officeDocument/2006/relationships/image" Target="media/image-svg-433df413822ec2170d8cfb7fdaf5ba7b6d59816b.png" TargetMode="Internal"/><Relationship Id="rId24" Type="http://schemas.openxmlformats.org/officeDocument/2006/relationships/image" Target="media/image-svg-180486a367274ebec4ba537e820d10dc84003205.svg" TargetMode="Internal"/><Relationship Id="rId25" Type="http://schemas.openxmlformats.org/officeDocument/2006/relationships/image" Target="media/image-svg-180486a367274ebec4ba537e820d10dc84003205.png" TargetMode="Internal"/><Relationship Id="rId26" Type="http://schemas.openxmlformats.org/officeDocument/2006/relationships/image" Target="media/image-svg-e2828457b5d51fbefcfc4d670eb26dbc6f64182b.svg" TargetMode="Internal"/><Relationship Id="rId27" Type="http://schemas.openxmlformats.org/officeDocument/2006/relationships/image" Target="media/image-svg-e2828457b5d51fbefcfc4d670eb26dbc6f64182b.png" TargetMode="Internal"/><Relationship Id="rId28" Type="http://schemas.openxmlformats.org/officeDocument/2006/relationships/image" Target="media/image-svg-c4f6c2d460681239a8bc6915e345dda992ad2ec5.svg" TargetMode="Internal"/><Relationship Id="rId29" Type="http://schemas.openxmlformats.org/officeDocument/2006/relationships/image" Target="media/image-svg-c4f6c2d460681239a8bc6915e345dda992ad2ec5.png" TargetMode="Internal"/><Relationship Id="rId30" Type="http://schemas.openxmlformats.org/officeDocument/2006/relationships/image" Target="media/image-svg-52a5c664d78f60aea14ee5ec727034b7806ec62d.svg" TargetMode="Internal"/><Relationship Id="rId31" Type="http://schemas.openxmlformats.org/officeDocument/2006/relationships/image" Target="media/image-svg-52a5c664d78f60aea14ee5ec727034b7806ec62d.png" TargetMode="Internal"/><Relationship Id="rId32" Type="http://schemas.openxmlformats.org/officeDocument/2006/relationships/image" Target="media/image-svg-6d46e7d675dfe07691c34ba267f07e192f35e3c1.svg" TargetMode="Internal"/><Relationship Id="rId33" Type="http://schemas.openxmlformats.org/officeDocument/2006/relationships/image" Target="media/image-svg-6d46e7d675dfe07691c34ba267f07e192f35e3c1.png" TargetMode="Internal"/><Relationship Id="rId34" Type="http://schemas.openxmlformats.org/officeDocument/2006/relationships/image" Target="media/image-svg-3e83a8b39453b9bbca330880da06b88b764c6201.svg" TargetMode="Internal"/><Relationship Id="rId35" Type="http://schemas.openxmlformats.org/officeDocument/2006/relationships/image" Target="media/image-svg-3e83a8b39453b9bbca330880da06b88b764c6201.png" TargetMode="Internal"/><Relationship Id="rId36" Type="http://schemas.openxmlformats.org/officeDocument/2006/relationships/image" Target="media/image-svg-657d3245f41af5862a057ee43902e0f9d085809b.svg" TargetMode="Internal"/><Relationship Id="rId37" Type="http://schemas.openxmlformats.org/officeDocument/2006/relationships/image" Target="media/image-svg-657d3245f41af5862a057ee43902e0f9d085809b.png" TargetMode="Internal"/><Relationship Id="rId38" Type="http://schemas.openxmlformats.org/officeDocument/2006/relationships/image" Target="media/image-svg-650b7df7c5511a5a784a51d62b1d30fbac1e0429.svg" TargetMode="Internal"/><Relationship Id="rId39" Type="http://schemas.openxmlformats.org/officeDocument/2006/relationships/image" Target="media/image-svg-650b7df7c5511a5a784a51d62b1d30fbac1e0429.png" TargetMode="Internal"/><Relationship Id="rId40" Type="http://schemas.openxmlformats.org/officeDocument/2006/relationships/image" Target="media/image-svg-727a61c95a15f912c25975a73ab675e54b3d5915.svg" TargetMode="Internal"/><Relationship Id="rId41" Type="http://schemas.openxmlformats.org/officeDocument/2006/relationships/image" Target="media/image-svg-727a61c95a15f912c25975a73ab675e54b3d5915.png" TargetMode="Internal"/><Relationship Id="rId42" Type="http://schemas.openxmlformats.org/officeDocument/2006/relationships/image" Target="media/image-svg-209fdd5870ccbf855fd9c8115777a111d48635c1.svg" TargetMode="Internal"/><Relationship Id="rId43" Type="http://schemas.openxmlformats.org/officeDocument/2006/relationships/image" Target="media/image-svg-209fdd5870ccbf855fd9c8115777a111d48635c1.png" TargetMode="Internal"/><Relationship Id="rId44" Type="http://schemas.openxmlformats.org/officeDocument/2006/relationships/image" Target="media/image-svg-162ce1fdfcf1ef1ccb5a23046c14d0c4c784d834.svg" TargetMode="Internal"/><Relationship Id="rId45" Type="http://schemas.openxmlformats.org/officeDocument/2006/relationships/image" Target="media/image-svg-162ce1fdfcf1ef1ccb5a23046c14d0c4c784d834.png" TargetMode="Internal"/><Relationship Id="rId46" Type="http://schemas.openxmlformats.org/officeDocument/2006/relationships/image" Target="media/image-svg-cc68cb623b2bc6293f1b596f903bb5919eea59a4.svg" TargetMode="Internal"/><Relationship Id="rId47" Type="http://schemas.openxmlformats.org/officeDocument/2006/relationships/image" Target="media/image-svg-cc68cb623b2bc6293f1b596f903bb5919eea59a4.png" TargetMode="Internal"/><Relationship Id="rId48" Type="http://schemas.openxmlformats.org/officeDocument/2006/relationships/image" Target="media/image-svg-5462658f4fea370e244e332e1e4bb317de09f012.svg" TargetMode="Internal"/><Relationship Id="rId49" Type="http://schemas.openxmlformats.org/officeDocument/2006/relationships/image" Target="media/image-svg-5462658f4fea370e244e332e1e4bb317de09f012.png" TargetMode="Internal"/><Relationship Id="rId50" Type="http://schemas.openxmlformats.org/officeDocument/2006/relationships/image" Target="media/image-9980bd431f4473227c54d85261bfa07c1646fb5c.jpg" TargetMode="Internal"/><Relationship Id="rId51" Type="http://schemas.openxmlformats.org/officeDocument/2006/relationships/image" Target="media/image-56fc53c99c58ce5c90e1a1261a6fa8c448f40899.jpg" TargetMode="Internal"/><Relationship Id="rId52" Type="http://schemas.openxmlformats.org/officeDocument/2006/relationships/image" Target="media/image-ebfb16741a6e9a6230ffe3a291caf1f6f3912098.jpg" TargetMode="Internal"/><Relationship Id="rId53" Type="http://schemas.openxmlformats.org/officeDocument/2006/relationships/image" Target="media/image-cb059d6b1ec5a4a253a17f4d0d1a3a92d23550fb.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2025-09-04T21:50:36.576Z</dcterms:created>
  <dcterms:modified xsi:type="dcterms:W3CDTF">2025-09-04T21:50:36.576Z</dcterms:modified>
</cp:coreProperties>
</file>