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NORMALE SUPÉRIEURE DE LYON</w:t>
      </w:r>
    </w:p>
    <w:p>
      <w:pPr>
        <w:spacing w:after="220" w:lineRule="auto"/>
      </w:pPr>
      <w:r>
        <w:rPr/>
        <w:t xml:space="preserve">CONCOURS D'ADMISSION 2013</w:t>
      </w:r>
      <w:r>
        <w:rPr/>
        <w:br w:type="textWrapping"/>
      </w:r>
      <w:r>
        <w:rPr>
          <w:rFonts w:eastAsia="Georgia" w:cs="Georgia" w:ascii="Georgia" w:hAnsi="Georgia"/>
        </w:rPr>
        <w:t xml:space="preserve">filière PC</w:t>
      </w:r>
    </w:p>
    <w:p>
      <w:pPr>
        <w:spacing w:line="271" w:before="330" w:lineRule="auto"/>
      </w:pPr>
      <w:r>
        <w:rPr>
          <w:b/>
          <w:sz w:val="42"/>
        </w:rPr>
        <w:t xml:space="preserve">COMPOSITION DE PHYSIQUE-CHIMIE - (L)</w:t>
      </w:r>
    </w:p>
    <w:p>
      <w:pPr>
        <w:spacing w:after="220" w:lineRule="auto"/>
      </w:pPr>
      <w:r>
        <w:rPr>
          <w:rFonts w:eastAsia="Georgia" w:cs="Georgia" w:ascii="Georgia" w:hAnsi="Georgia"/>
        </w:rPr>
        <w:t xml:space="preserve">(Durée : 5 heures)</w:t>
      </w:r>
    </w:p>
    <w:p>
      <w:pPr>
        <w:spacing w:after="220" w:lineRule="auto"/>
      </w:pPr>
      <w:r>
        <w:rPr>
          <w:rFonts w:eastAsia="Georgia" w:cs="Georgia" w:ascii="Georgia" w:hAnsi="Georgia"/>
        </w:rPr>
        <w:t xml:space="preserve">L'usage de calculatrice n'est pas autorisé.</w:t>
      </w:r>
      <w:r>
        <w:rPr/>
        <w:br w:type="textWrapping"/>
      </w:r>
      <w:r>
        <w:rPr>
          <w:rFonts w:eastAsia="Georgia" w:cs="Georgia" w:ascii="Georgia" w:hAnsi="Georgia"/>
        </w:rPr>
        <w:t xml:space="preserve">Les candidats rédigeront impérativement les parties relatives à la physique et à la chimie sur des copies distinctes, sur lesquelles ils porteront la mention "Physique" ou "Chimie". Par ailleurs, ils indiqueront très clairement les références des questions abordées.</w:t>
      </w:r>
    </w:p>
    <w:p>
      <w:pPr>
        <w:spacing w:line="271" w:before="330" w:lineRule="auto"/>
      </w:pPr>
      <w:r>
        <w:rPr>
          <w:b/>
          <w:sz w:val="42"/>
        </w:rPr>
        <w:t xml:space="preserve">Quelques aspects physiques et chimiques des cristaux liquides</w:t>
      </w:r>
    </w:p>
    <w:p>
      <w:pPr>
        <w:spacing w:after="220" w:lineRule="auto"/>
      </w:pPr>
      <w:r>
        <w:rPr>
          <w:rFonts w:eastAsia="Georgia" w:cs="Georgia" w:ascii="Georgia" w:hAnsi="Georgia"/>
        </w:rPr>
        <w:t xml:space="preserve">La première partie de ce sujet traite de la propagation d'une onde lumineuse dans un cristal liquide en phase nématique. La seconde s'intéresse au développement d'une membrane électrolyte constituée d'un cristal liquide ionique.</w:t>
      </w:r>
    </w:p>
    <w:p>
      <w:pPr>
        <w:spacing w:line="271" w:before="330" w:lineRule="auto"/>
      </w:pPr>
      <w:r>
        <w:rPr>
          <w:rFonts w:eastAsia="Georgia" w:cs="Georgia" w:ascii="Georgia" w:hAnsi="Georgia"/>
          <w:b/>
          <w:sz w:val="42"/>
        </w:rPr>
        <w:t xml:space="preserve">Première partie : Physique</w:t>
      </w:r>
      <w:r>
        <w:rPr>
          <w:b/>
          <w:sz w:val="42"/>
        </w:rPr>
        <w:br w:type="textWrapping"/>
      </w:r>
      <w:r>
        <w:rPr>
          <w:b/>
          <w:sz w:val="42"/>
        </w:rPr>
        <w:t xml:space="preserve"> Optique anisotrope dans un cristal liquide</w:t>
      </w:r>
    </w:p>
    <w:p>
      <w:pPr>
        <w:spacing w:after="220" w:lineRule="auto"/>
      </w:pPr>
      <w:r>
        <w:rPr>
          <w:rFonts w:eastAsia="Georgia" w:cs="Georgia" w:ascii="Georgia" w:hAnsi="Georgia"/>
        </w:rPr>
        <w:t xml:space="preserve">Un cristal liquide est un matériau dont les propriétés se situent entre celles d'un liquide et celles d'un solide cristallin. Il est composé de molécules anisotropes de forme allongée (dites en bâtonnets) de diamètre de l'ordre de </w:t>
      </w:r>
      <m:oMath>
        <m:r>
          <m:rPr>
            <m:sty m:val="p"/>
          </m:rPr>
          <m:t>0</m:t>
        </m:r>
        <m:r>
          <m:rPr>
            <m:sty m:val="p"/>
          </m:rPr>
          <m:t>,</m:t>
        </m:r>
        <m:r>
          <m:rPr>
            <m:sty m:val="p"/>
          </m:rPr>
          <m:t>5</m:t>
        </m:r>
        <m:r>
          <m:rPr>
            <m:nor/>
          </m:rPr>
          <m:t xml:space="preserve"> </m:t>
        </m:r>
        <m:r>
          <m:rPr>
            <m:sty m:val="p"/>
          </m:rPr>
          <m:t>nm</m:t>
        </m:r>
      </m:oMath>
      <w:r>
        <w:rPr>
          <w:rFonts w:eastAsia="Georgia" w:cs="Georgia" w:ascii="Georgia" w:hAnsi="Georgia"/>
        </w:rPr>
        <w:t xml:space="preserve"> et de longueur de l'ordre de 3 nm . Selon les conditions de température et de pression, ces molécules peuvent présenter un ordre à l'échelle microscopique (voir l'illustration figure (8)). Dans la phase nématique étudiée dans ce problème, les molécules sont préférentiellement orientées (aux fluctuations près dont nous négligerons les effets) selon une direction unique, repérée par un vecteur unitaire : le directeur </w:t>
      </w:r>
      <m:oMath>
        <m:acc>
          <m:accPr>
            <m:chr m:val="⃗"/>
          </m:accPr>
          <m:e>
            <m:r>
              <m:rPr>
                <m:sty m:val="i"/>
              </m:rPr>
              <m:t>n</m:t>
            </m:r>
          </m:e>
        </m:acc>
      </m:oMath>
      <w:r>
        <w:rPr>
          <w:rFonts w:eastAsia="Georgia" w:cs="Georgia" w:ascii="Georgia" w:hAnsi="Georgia"/>
        </w:rPr>
        <w:t xml:space="preserve"> (voir figure (1)). Nous allons étudier les propriétés d'une onde électromagnétique plane dans cette phase afin de comprendre l'influence de son ordre directionnel sur la propagation de la lumière.</w:t>
      </w:r>
    </w:p>
    <w:p>
      <w:pPr>
        <w:spacing w:lineRule="auto"/>
        <w:jc w:val="center"/>
      </w:pPr>
      <w:r>
        <w:rPr/>
        <w:drawing>
          <wp:inline distB="0" distL="0" distR="0" distT="0">
            <wp:extent cx="5486400" cy="2006916"/>
            <wp:effectExtent b="0" l="0" r="0" t="0"/>
            <wp:docPr id="1" name="image-8211ac2bdb1f95fddc2a81b8d417209051969f0a.jpg"/>
            <a:graphic>
              <a:graphicData uri="http://schemas.openxmlformats.org/drawingml/2006/picture">
                <pic:pic>
                  <pic:nvPicPr>
                    <pic:cNvPr id="1" name="image-8211ac2bdb1f95fddc2a81b8d417209051969f0a.jpg" descr=""/>
                    <pic:cNvPicPr/>
                  </pic:nvPicPr>
                  <pic:blipFill>
                    <a:blip r:embed="rId5" cstate="print"/>
                    <a:srcRect b="0" l="0" r="0" t="0"/>
                    <a:stretch>
                      <a:fillRect/>
                    </a:stretch>
                  </pic:blipFill>
                  <pic:spPr>
                    <a:xfrm>
                      <a:off x="0" y="0"/>
                      <a:ext cx="5486400" cy="2006916"/>
                    </a:xfrm>
                    <a:prstGeom prst="rect"/>
                  </pic:spPr>
                </pic:pic>
              </a:graphicData>
            </a:graphic>
          </wp:inline>
        </w:drawing>
      </w:r>
    </w:p>
    <w:p>
      <w:pPr>
        <w:spacing w:lineRule="auto"/>
      </w:pPr>
      <w:r>
        <w:rPr>
          <w:rFonts w:eastAsia="Georgia" w:cs="Georgia" w:ascii="Georgia" w:hAnsi="Georgia"/>
        </w:rPr>
        <w:t xml:space="preserve">Figure 1 - Cristal liquide en phase nématique. Le directeur </w:t>
      </w:r>
      <m:oMath>
        <m:acc>
          <m:accPr>
            <m:chr m:val="⃗"/>
          </m:accPr>
          <m:e>
            <m:r>
              <m:rPr>
                <m:sty m:val="i"/>
              </m:rPr>
              <m:t>n</m:t>
            </m:r>
          </m:e>
        </m:acc>
      </m:oMath>
      <w:r>
        <w:rPr>
          <w:rFonts w:eastAsia="Georgia" w:cs="Georgia" w:ascii="Georgia" w:hAnsi="Georgia"/>
        </w:rPr>
        <w:t xml:space="preserve"> est selon l'axe du bâtonnet. Le vecteur unitaire </w:t>
      </w:r>
      <m:oMath>
        <m:acc>
          <m:accPr>
            <m:chr m:val="⃗"/>
          </m:accPr>
          <m:e>
            <m:r>
              <m:rPr>
                <m:sty m:val="i"/>
              </m:rPr>
              <m:t>u</m:t>
            </m:r>
          </m:e>
        </m:acc>
      </m:oMath>
      <w:r>
        <w:rPr>
          <w:rFonts w:eastAsia="Georgia" w:cs="Georgia" w:ascii="Georgia" w:hAnsi="Georgia"/>
        </w:rPr>
        <w:t xml:space="preserve"> définit la direction du vecteur d'onde de l'onde électromagnétique traversant ce milieu.</w:t>
      </w:r>
    </w:p>
    <w:p>
      <w:pPr>
        <w:spacing w:line="271" w:before="330" w:lineRule="auto"/>
      </w:pPr>
      <w:r>
        <w:rPr>
          <w:rFonts w:eastAsia="Georgia" w:cs="Georgia" w:ascii="Georgia" w:hAnsi="Georgia"/>
          <w:b/>
          <w:sz w:val="42"/>
        </w:rPr>
        <w:t xml:space="preserve">Notations, hypothèses et formulaire</w:t>
      </w:r>
    </w:p>
    <w:p>
      <w:pPr>
        <w:numPr>
          <w:ilvl w:val="0"/>
          <w:numId w:val="1"/>
        </w:numPr>
        <w:spacing w:lineRule="auto"/>
      </w:pPr>
      <w:r>
        <w:rPr/>
        <w:t xml:space="preserve">Nous notons </w:t>
      </w:r>
      <m:oMath>
        <m:sSub>
          <m:sSubPr/>
          <m:e>
            <m:r>
              <m:rPr>
                <m:sty m:val="i"/>
              </m:rPr>
              <m:t>ϵ</m:t>
            </m:r>
          </m:e>
          <m:sub>
            <m:r>
              <m:rPr>
                <m:sty m:val="p"/>
              </m:rPr>
              <m:t>0</m:t>
            </m:r>
          </m:sub>
        </m:sSub>
      </m:oMath>
      <w:r>
        <w:rPr/>
        <w:t xml:space="preserve"> et </w:t>
      </w:r>
      <m:oMath>
        <m:sSub>
          <m:sSubPr/>
          <m:e>
            <m:r>
              <m:rPr>
                <m:sty m:val="i"/>
              </m:rPr>
              <m:t>μ</m:t>
            </m:r>
          </m:e>
          <m:sub>
            <m:r>
              <m:rPr>
                <m:sty m:val="p"/>
              </m:rPr>
              <m:t>0</m:t>
            </m:r>
          </m:sub>
        </m:sSub>
      </m:oMath>
      <w:r>
        <w:rPr>
          <w:rFonts w:eastAsia="Georgia" w:cs="Georgia" w:ascii="Georgia" w:hAnsi="Georgia"/>
        </w:rPr>
        <w:t xml:space="preserve"> les permittivité électrique et perméabilité magnétique du vide. </w:t>
      </w:r>
      <m:oMath>
        <m:r>
          <m:rPr>
            <m:sty m:val="i"/>
          </m:rPr>
          <m:t>c</m:t>
        </m:r>
      </m:oMath>
      <w:r>
        <w:rPr>
          <w:rFonts w:eastAsia="Georgia" w:cs="Georgia" w:ascii="Georgia" w:hAnsi="Georgia"/>
        </w:rPr>
        <w:t xml:space="preserve"> désigne la célérité des ondes électromagnétiques dans le vide.</w:t>
      </w:r>
    </w:p>
    <w:p>
      <w:pPr>
        <w:numPr>
          <w:ilvl w:val="0"/>
          <w:numId w:val="1"/>
        </w:numPr>
        <w:spacing w:lineRule="auto"/>
      </w:pPr>
      <w:r>
        <w:rPr>
          <w:rFonts w:eastAsia="Georgia" w:cs="Georgia" w:ascii="Georgia" w:hAnsi="Georgia"/>
        </w:rPr>
        <w:t xml:space="preserve">Nous considérons que le milieu étudié est isolant et que sa perméabilité magnétique est celle du vide ( </w:t>
      </w:r>
      <m:oMath>
        <m:r>
          <m:rPr>
            <m:sty m:val="i"/>
          </m:rPr>
          <m:t>μ</m:t>
        </m:r>
        <m:r>
          <m:rPr>
            <m:sty m:val="p"/>
          </m:rPr>
          <m:t>=</m:t>
        </m:r>
        <m:sSub>
          <m:sSubPr/>
          <m:e>
            <m:r>
              <m:rPr>
                <m:sty m:val="i"/>
              </m:rPr>
              <m:t>μ</m:t>
            </m:r>
          </m:e>
          <m:sub>
            <m:r>
              <m:rPr>
                <m:sty m:val="p"/>
              </m:rPr>
              <m:t>0</m:t>
            </m:r>
          </m:sub>
        </m:sSub>
      </m:oMath>
      <w:r>
        <w:rPr/>
        <w:t xml:space="preserve"> ).</w:t>
      </w:r>
    </w:p>
    <w:p>
      <w:pPr>
        <w:numPr>
          <w:ilvl w:val="0"/>
          <w:numId w:val="1"/>
        </w:numPr>
        <w:spacing w:lineRule="auto"/>
      </w:pPr>
      <w:r>
        <w:rPr/>
        <w:t xml:space="preserve">Double produit vectoriel :</w:t>
      </w:r>
    </w:p>
    <w:p>
      <w:pPr>
        <w:spacing w:after="220" w:lineRule="auto"/>
      </w:pPr>
      <m:oMathPara>
        <m:oMath>
          <m:acc>
            <m:accPr>
              <m:chr m:val="⃗"/>
            </m:accPr>
            <m:e>
              <m:r>
                <m:rPr>
                  <m:sty m:val="i"/>
                </m:rPr>
                <m:t>u</m:t>
              </m:r>
            </m:e>
          </m:acc>
          <m:r>
            <m:rPr>
              <m:sty m:val="p"/>
            </m:rPr>
            <m:t>∧</m:t>
          </m:r>
          <m:r>
            <m:rPr>
              <m:sty m:val="p"/>
            </m:rPr>
            <m:t>(</m:t>
          </m:r>
          <m:acc>
            <m:accPr>
              <m:chr m:val="⃗"/>
            </m:accPr>
            <m:e>
              <m:r>
                <m:rPr>
                  <m:sty m:val="i"/>
                </m:rPr>
                <m:t>v</m:t>
              </m:r>
            </m:e>
          </m:acc>
          <m:r>
            <m:rPr>
              <m:sty m:val="p"/>
            </m:rPr>
            <m:t>∧</m:t>
          </m:r>
          <m:acc>
            <m:accPr>
              <m:chr m:val="⃗"/>
            </m:accPr>
            <m:e>
              <m:r>
                <m:rPr>
                  <m:sty m:val="i"/>
                </m:rPr>
                <m:t>w</m:t>
              </m:r>
            </m:e>
          </m:acc>
          <m:r>
            <m:rPr>
              <m:sty m:val="p"/>
            </m:rPr>
            <m:t>)</m:t>
          </m:r>
          <m:r>
            <m:rPr>
              <m:sty m:val="p"/>
            </m:rPr>
            <m:t>=</m:t>
          </m:r>
          <m:r>
            <m:rPr>
              <m:sty m:val="p"/>
            </m:rPr>
            <m:t>(</m:t>
          </m:r>
          <m:acc>
            <m:accPr>
              <m:chr m:val="⃗"/>
            </m:accPr>
            <m:e>
              <m:r>
                <m:rPr>
                  <m:sty m:val="i"/>
                </m:rPr>
                <m:t>u</m:t>
              </m:r>
            </m:e>
          </m:acc>
          <m:r>
            <m:rPr>
              <m:sty m:val="p"/>
            </m:rPr>
            <m:t>⋅</m:t>
          </m:r>
          <m:acc>
            <m:accPr>
              <m:chr m:val="⃗"/>
            </m:accPr>
            <m:e>
              <m:r>
                <m:rPr>
                  <m:sty m:val="i"/>
                </m:rPr>
                <m:t>w</m:t>
              </m:r>
            </m:e>
          </m:acc>
          <m:r>
            <m:rPr>
              <m:sty m:val="p"/>
            </m:rPr>
            <m:t>)</m:t>
          </m:r>
          <m:acc>
            <m:accPr>
              <m:chr m:val="⃗"/>
            </m:accPr>
            <m:e>
              <m:r>
                <m:rPr>
                  <m:sty m:val="i"/>
                </m:rPr>
                <m:t>v</m:t>
              </m:r>
            </m:e>
          </m:acc>
          <m:r>
            <m:rPr>
              <m:sty m:val="p"/>
            </m:rPr>
            <m:t>−</m:t>
          </m:r>
          <m:r>
            <m:rPr>
              <m:sty m:val="p"/>
            </m:rPr>
            <m:t>(</m:t>
          </m:r>
          <m:acc>
            <m:accPr>
              <m:chr m:val="⃗"/>
            </m:accPr>
            <m:e>
              <m:r>
                <m:rPr>
                  <m:sty m:val="i"/>
                </m:rPr>
                <m:t>u</m:t>
              </m:r>
            </m:e>
          </m:acc>
          <m:r>
            <m:rPr>
              <m:sty m:val="p"/>
            </m:rPr>
            <m:t>⋅</m:t>
          </m:r>
          <m:acc>
            <m:accPr>
              <m:chr m:val="⃗"/>
            </m:accPr>
            <m:e>
              <m:r>
                <m:rPr>
                  <m:sty m:val="i"/>
                </m:rPr>
                <m:t>v</m:t>
              </m:r>
            </m:e>
          </m:acc>
          <m:r>
            <m:rPr>
              <m:sty m:val="p"/>
            </m:rPr>
            <m:t>)</m:t>
          </m:r>
          <m:acc>
            <m:accPr>
              <m:chr m:val="⃗"/>
            </m:accPr>
            <m:e>
              <m:r>
                <m:rPr>
                  <m:sty m:val="i"/>
                </m:rPr>
                <m:t>w</m:t>
              </m:r>
            </m:e>
          </m:acc>
        </m:oMath>
      </m:oMathPara>
    </w:p>
    <w:p>
      <w:pPr>
        <w:spacing w:after="220" w:lineRule="auto"/>
      </w:pPr>
      <w:r>
        <w:rPr>
          <w:rFonts w:eastAsia="Georgia" w:cs="Georgia" w:ascii="Georgia" w:hAnsi="Georgia"/>
        </w:rPr>
        <w:t xml:space="preserve">N.B. : Si nécessaire, on admettra les résultats des questions </w:t>
      </w:r>
      <m:oMath>
        <m:r>
          <m:rPr>
            <m:sty m:val="b"/>
          </m:rPr>
          <m:t>6</m:t>
        </m:r>
        <m:r>
          <m:rPr>
            <m:sty m:val="b"/>
          </m:rPr>
          <m:t>,</m:t>
        </m:r>
        <m:r>
          <m:rPr>
            <m:sty m:val="b"/>
          </m:rPr>
          <m:t>9</m:t>
        </m:r>
      </m:oMath>
      <w:r>
        <w:rPr/>
        <w:t xml:space="preserve"> et </w:t>
      </w:r>
      <m:oMath>
        <m:r>
          <m:rPr>
            <m:sty m:val="b"/>
          </m:rPr>
          <m:t>1</m:t>
        </m:r>
        <m:r>
          <m:rPr>
            <m:sty m:val="b"/>
          </m:rPr>
          <m:t>5</m:t>
        </m:r>
      </m:oMath>
      <w:r>
        <w:rPr>
          <w:rFonts w:eastAsia="Georgia" w:cs="Georgia" w:ascii="Georgia" w:hAnsi="Georgia"/>
        </w:rPr>
        <w:t xml:space="preserve"> pour traiter la suite du problème.</w:t>
      </w:r>
    </w:p>
    <w:p>
      <w:pPr>
        <w:spacing w:line="271" w:before="330" w:lineRule="auto"/>
      </w:pPr>
      <w:r>
        <w:rPr>
          <w:rFonts w:eastAsia="Georgia" w:cs="Georgia" w:ascii="Georgia" w:hAnsi="Georgia"/>
          <w:b/>
          <w:sz w:val="42"/>
        </w:rPr>
        <w:t xml:space="preserve">I Onde électromagnétique dans un milieu matériel.</w:t>
      </w:r>
    </w:p>
    <w:p>
      <w:pPr>
        <w:spacing w:after="220" w:lineRule="auto"/>
      </w:pPr>
      <w:r>
        <w:rPr>
          <w:rFonts w:eastAsia="Georgia" w:cs="Georgia" w:ascii="Georgia" w:hAnsi="Georgia"/>
        </w:rPr>
        <w:t xml:space="preserve">Le cristal liquide étudié est un milieu matériel isolant (c'est-à-dire dépourvu de charge libre) mais polarisable. Un tel milieu présente alors, localement, un vecteur polarisation </w:t>
      </w:r>
      <m:oMath>
        <m:acc>
          <m:accPr>
            <m:chr m:val="⃗"/>
          </m:accPr>
          <m:e>
            <m:r>
              <m:rPr>
                <m:sty m:val="i"/>
              </m:rPr>
              <m:t>P</m:t>
            </m:r>
          </m:e>
        </m:acc>
      </m:oMath>
      <w:r>
        <w:rPr>
          <w:rFonts w:eastAsia="Georgia" w:cs="Georgia" w:ascii="Georgia" w:hAnsi="Georgia"/>
        </w:rPr>
        <w:t xml:space="preserve">. À ce vecteur polarisation correspondent une densité de charge </w:t>
      </w:r>
      <m:oMath>
        <m:sSub>
          <m:sSubPr/>
          <m:e>
            <m:r>
              <m:rPr>
                <m:sty m:val="i"/>
              </m:rPr>
              <m:t>ρ</m:t>
            </m:r>
          </m:e>
          <m:sub>
            <m:r>
              <m:rPr>
                <m:sty m:val="i"/>
              </m:rPr>
              <m:t>p</m:t>
            </m:r>
          </m:sub>
        </m:sSub>
      </m:oMath>
      <w:r>
        <w:rPr>
          <w:rFonts w:eastAsia="Georgia" w:cs="Georgia" w:ascii="Georgia" w:hAnsi="Georgia"/>
        </w:rPr>
        <w:t xml:space="preserve"> et un vecteur densité de courant </w:t>
      </w:r>
      <m:oMath>
        <m:sSub>
          <m:sSubPr/>
          <m:e>
            <m:acc>
              <m:accPr>
                <m:chr m:val="⃗"/>
              </m:accPr>
              <m:e>
                <m:r>
                  <m:rPr>
                    <m:sty m:val="i"/>
                  </m:rPr>
                  <m:t>j</m:t>
                </m:r>
              </m:e>
            </m:acc>
          </m:e>
          <m:sub>
            <m:r>
              <m:rPr>
                <m:sty m:val="i"/>
              </m:rPr>
              <m:t>p</m:t>
            </m:r>
          </m:sub>
        </m:sSub>
      </m:oMath>
      <w:r>
        <w:rPr>
          <w:rFonts w:eastAsia="Georgia" w:cs="Georgia" w:ascii="Georgia" w:hAnsi="Georgia"/>
        </w:rPr>
        <w:t xml:space="preserve">. Nous admettrons que ces densités de charge et de courant de polarisation jouent le même rôle que celles qui se rapporteraient à des charges libres. Dans la suite, l'indice " </w:t>
      </w:r>
      <m:oMath>
        <m:r>
          <m:rPr>
            <m:sty m:val="i"/>
          </m:rPr>
          <m:t>p</m:t>
        </m:r>
      </m:oMath>
      <w:r>
        <w:rPr>
          <w:rFonts w:eastAsia="Georgia" w:cs="Georgia" w:ascii="Georgia" w:hAnsi="Georgia"/>
        </w:rPr>
        <w:t xml:space="preserve"> " sera omis, étant entendu que le milieu considéré ne comporte aucune charge libre (isolant).</w:t>
      </w:r>
    </w:p>
    <w:p>
      <w:pPr>
        <w:numPr>
          <w:ilvl w:val="0"/>
          <w:numId w:val="2"/>
        </w:numPr>
        <w:spacing w:lineRule="auto"/>
      </w:pPr>
      <w:r>
        <w:rPr>
          <w:rFonts w:eastAsia="Georgia" w:cs="Georgia" w:ascii="Georgia" w:hAnsi="Georgia"/>
        </w:rPr>
        <w:t xml:space="preserve">Rappeler la définition du moment dipolaire </w:t>
      </w:r>
      <m:oMath>
        <m:acc>
          <m:accPr>
            <m:chr m:val="⃗"/>
          </m:accPr>
          <m:e>
            <m:r>
              <m:rPr>
                <m:sty m:val="i"/>
              </m:rPr>
              <m:t>p</m:t>
            </m:r>
          </m:e>
        </m:acc>
      </m:oMath>
      <w:r>
        <w:rPr>
          <w:rFonts w:eastAsia="Georgia" w:cs="Georgia" w:ascii="Georgia" w:hAnsi="Georgia"/>
        </w:rPr>
        <w:t xml:space="preserve"> (d'une molécule, par exemple) et celle du vecteur polarisation </w:t>
      </w:r>
      <m:oMath>
        <m:acc>
          <m:accPr>
            <m:chr m:val="⃗"/>
          </m:accPr>
          <m:e>
            <m:r>
              <m:rPr>
                <m:sty m:val="i"/>
              </m:rPr>
              <m:t>P</m:t>
            </m:r>
          </m:e>
        </m:acc>
      </m:oMath>
      <w:r>
        <w:rPr>
          <w:rFonts w:eastAsia="Georgia" w:cs="Georgia" w:ascii="Georgia" w:hAnsi="Georgia"/>
        </w:rPr>
        <w:t xml:space="preserve">. Préciser leur dimension.</w:t>
      </w:r>
    </w:p>
    <w:p>
      <w:pPr>
        <w:numPr>
          <w:ilvl w:val="0"/>
          <w:numId w:val="2"/>
        </w:numPr>
        <w:spacing w:lineRule="auto"/>
      </w:pPr>
      <w:r>
        <w:rPr/>
        <w:t xml:space="preserve">On rappelle que :</w:t>
      </w:r>
    </w:p>
    <w:p>
      <w:pPr>
        <w:spacing w:after="220" w:lineRule="auto"/>
      </w:pPr>
      <m:oMathPara>
        <m:oMath>
          <m:acc>
            <m:accPr>
              <m:chr m:val="⃗"/>
            </m:accPr>
            <m:e>
              <m:r>
                <m:rPr>
                  <m:sty m:val="i"/>
                </m:rPr>
                <m:t>j</m:t>
              </m:r>
            </m:e>
          </m:acc>
          <m:r>
            <m:rPr>
              <m:sty m:val="p"/>
            </m:rPr>
            <m:t>=</m:t>
          </m:r>
          <m:f>
            <m:fPr>
              <m:ctrlPr>
                <w:rPr>
                  <w:rFonts w:ascii="Cambria Math" w:hAnsi="Cambria Math"/>
                </w:rPr>
              </m:ctrlPr>
            </m:fPr>
            <m:num>
              <m:r>
                <m:rPr>
                  <m:sty m:val="i"/>
                </m:rPr>
                <m:t>∂</m:t>
              </m:r>
              <m:acc>
                <m:accPr>
                  <m:chr m:val="⃗"/>
                </m:accPr>
                <m:e>
                  <m:r>
                    <m:rPr>
                      <m:sty m:val="i"/>
                    </m:rPr>
                    <m:t>P</m:t>
                  </m:r>
                </m:e>
              </m:acc>
            </m:num>
            <m:den>
              <m:r>
                <m:rPr>
                  <m:sty m:val="i"/>
                </m:rPr>
                <m:t>∂</m:t>
              </m:r>
              <m:r>
                <m:rPr>
                  <m:sty m:val="i"/>
                </m:rPr>
                <m:t>t</m:t>
              </m:r>
            </m:den>
          </m:f>
          <m:r>
            <m:rPr>
              <m:sty m:val="p"/>
            </m:rPr>
            <m:t>.</m:t>
          </m:r>
        </m:oMath>
      </m:oMathPara>
    </w:p>
    <w:p>
      <w:pPr>
        <w:spacing w:after="220" w:lineRule="auto"/>
      </w:pPr>
      <w:r>
        <w:rPr>
          <w:rFonts w:eastAsia="Georgia" w:cs="Georgia" w:ascii="Georgia" w:hAnsi="Georgia"/>
        </w:rPr>
        <w:t xml:space="preserve">Établir alors la relation :</w:t>
      </w:r>
    </w:p>
    <w:p>
      <w:pPr>
        <w:spacing w:after="220" w:lineRule="auto"/>
      </w:pPr>
      <m:oMathPara>
        <m:oMath>
          <m:r>
            <m:rPr>
              <m:sty m:val="p"/>
            </m:rPr>
            <m:t>div</m:t>
          </m:r>
          <m:acc>
            <m:accPr>
              <m:chr m:val="⃗"/>
            </m:accPr>
            <m:e>
              <m:r>
                <m:rPr>
                  <m:sty m:val="i"/>
                </m:rPr>
                <m:t>P</m:t>
              </m:r>
            </m:e>
          </m:acc>
          <m:r>
            <m:rPr>
              <m:sty m:val="p"/>
            </m:rPr>
            <m:t>+</m:t>
          </m:r>
          <m:r>
            <m:rPr>
              <m:sty m:val="i"/>
            </m:rPr>
            <m:t>ρ</m:t>
          </m:r>
          <m:r>
            <m:rPr>
              <m:sty m:val="p"/>
            </m:rPr>
            <m:t>=</m:t>
          </m:r>
          <m:r>
            <m:rPr>
              <m:nor/>
            </m:rPr>
            <m:t> Cste </m:t>
          </m:r>
          <m:r>
            <m:rPr>
              <m:sty m:val="p"/>
            </m:rPr>
            <m:t xml:space="preserve"> </m:t>
          </m:r>
          <m:r>
            <m:rPr>
              <m:nor/>
            </m:rPr>
            <m:t> (on admettra que la constante est nulle). </m:t>
          </m:r>
        </m:oMath>
      </m:oMathPara>
    </w:p>
    <w:p>
      <w:pPr>
        <w:numPr>
          <w:ilvl w:val="0"/>
          <w:numId w:val="3"/>
        </w:numPr>
        <w:spacing w:lineRule="auto"/>
      </w:pPr>
      <w:r>
        <w:rPr>
          <w:rFonts w:eastAsia="Georgia" w:cs="Georgia" w:ascii="Georgia" w:hAnsi="Georgia"/>
        </w:rPr>
        <w:t xml:space="preserve">Le vecteur déplacement électrique est défini par la somme :</w:t>
      </w:r>
    </w:p>
    <w:p>
      <w:pPr>
        <w:spacing w:after="220" w:lineRule="auto"/>
      </w:pPr>
      <m:oMathPara>
        <m:oMath>
          <m:acc>
            <m:accPr>
              <m:chr m:val="⃗"/>
            </m:accPr>
            <m:e>
              <m:r>
                <m:rPr>
                  <m:sty m:val="i"/>
                </m:rPr>
                <m:t>D</m:t>
              </m:r>
            </m:e>
          </m:acc>
          <m:r>
            <m:rPr>
              <m:sty m:val="p"/>
            </m:rPr>
            <m:t>≡</m:t>
          </m:r>
          <m:sSub>
            <m:sSubPr/>
            <m:e>
              <m:r>
                <m:rPr>
                  <m:sty m:val="i"/>
                </m:rPr>
                <m:t>ϵ</m:t>
              </m:r>
            </m:e>
            <m:sub>
              <m:r>
                <m:rPr>
                  <m:sty m:val="p"/>
                </m:rPr>
                <m:t>0</m:t>
              </m:r>
            </m:sub>
          </m:sSub>
          <m:acc>
            <m:accPr>
              <m:chr m:val="⃗"/>
            </m:accPr>
            <m:e>
              <m:r>
                <m:rPr>
                  <m:sty m:val="i"/>
                </m:rPr>
                <m:t>E</m:t>
              </m:r>
            </m:e>
          </m:acc>
          <m:r>
            <m:rPr>
              <m:sty m:val="p"/>
            </m:rPr>
            <m:t>+</m:t>
          </m:r>
          <m:acc>
            <m:accPr>
              <m:chr m:val="⃗"/>
            </m:accPr>
            <m:e>
              <m:r>
                <m:rPr>
                  <m:sty m:val="i"/>
                </m:rPr>
                <m:t>P</m:t>
              </m:r>
            </m:e>
          </m:acc>
        </m:oMath>
      </m:oMathPara>
    </w:p>
    <w:p>
      <w:pPr>
        <w:spacing w:after="220" w:lineRule="auto"/>
      </w:pPr>
      <w:r>
        <w:rPr>
          <w:rFonts w:eastAsia="Georgia" w:cs="Georgia" w:ascii="Georgia" w:hAnsi="Georgia"/>
        </w:rPr>
        <w:t xml:space="preserve">Écrire les équations de Maxwell-Gauss et Maxwell-Ampère en introduisant ce vecteur.</w:t>
      </w:r>
      <w:r>
        <w:rPr/>
        <w:br w:type="textWrapping"/>
      </w:r>
      <w:r>
        <w:rPr>
          <w:rFonts w:eastAsia="Georgia" w:cs="Georgia" w:ascii="Georgia" w:hAnsi="Georgia"/>
        </w:rPr>
        <w:t xml:space="preserve">Dans la suite, nous étudions la propagation d'une onde progressive plane harmonique (OPPH) de pulsation </w:t>
      </w:r>
      <m:oMath>
        <m:r>
          <m:rPr>
            <m:sty m:val="i"/>
          </m:rPr>
          <m:t>ω</m:t>
        </m:r>
      </m:oMath>
      <w:r>
        <w:rPr/>
        <w:t xml:space="preserve"> et de vecteur d'onde </w:t>
      </w:r>
      <m:oMath>
        <m:acc>
          <m:accPr>
            <m:chr m:val="⃗"/>
          </m:accPr>
          <m:e>
            <m:r>
              <m:rPr>
                <m:sty m:val="i"/>
              </m:rPr>
              <m:t>k</m:t>
            </m:r>
          </m:e>
        </m:acc>
        <m:r>
          <m:rPr>
            <m:sty m:val="p"/>
          </m:rPr>
          <m:t>=</m:t>
        </m:r>
        <m:r>
          <m:rPr>
            <m:sty m:val="i"/>
          </m:rPr>
          <m:t>k</m:t>
        </m:r>
        <m:acc>
          <m:accPr>
            <m:chr m:val="⃗"/>
          </m:accPr>
          <m:e>
            <m:r>
              <m:rPr>
                <m:sty m:val="i"/>
              </m:rPr>
              <m:t>u</m:t>
            </m:r>
          </m:e>
        </m:acc>
        <m:r>
          <m:rPr>
            <m:sty m:val="p"/>
          </m:rPr>
          <m:t>.</m:t>
        </m:r>
        <m:acc>
          <m:accPr>
            <m:chr m:val="⃗"/>
          </m:accPr>
          <m:e>
            <m:r>
              <m:rPr>
                <m:sty m:val="i"/>
              </m:rPr>
              <m:t>u</m:t>
            </m:r>
          </m:e>
        </m:acc>
      </m:oMath>
      <w:r>
        <w:rPr>
          <w:rFonts w:eastAsia="Georgia" w:cs="Georgia" w:ascii="Georgia" w:hAnsi="Georgia"/>
        </w:rPr>
        <w:t xml:space="preserve"> sera appelé direction de propagation (du plan de phase). Les champs </w:t>
      </w:r>
      <m:oMath>
        <m:acc>
          <m:accPr>
            <m:chr m:val="⃗"/>
          </m:accPr>
          <m:e>
            <m:r>
              <m:rPr>
                <m:sty m:val="i"/>
              </m:rPr>
              <m:t>E</m:t>
            </m:r>
          </m:e>
        </m:acc>
        <m:r>
          <m:rPr>
            <m:sty m:val="p"/>
          </m:rPr>
          <m:t>,</m:t>
        </m:r>
        <m:acc>
          <m:accPr>
            <m:chr m:val="⃗"/>
          </m:accPr>
          <m:e>
            <m:r>
              <m:rPr>
                <m:sty m:val="i"/>
              </m:rPr>
              <m:t>P</m:t>
            </m:r>
          </m:e>
        </m:acc>
      </m:oMath>
      <w:r>
        <w:rPr/>
        <w:t xml:space="preserve"> et </w:t>
      </w:r>
      <m:oMath>
        <m:acc>
          <m:accPr>
            <m:chr m:val="⃗"/>
          </m:accPr>
          <m:e>
            <m:r>
              <m:rPr>
                <m:sty m:val="i"/>
              </m:rPr>
              <m:t>D</m:t>
            </m:r>
          </m:e>
        </m:acc>
      </m:oMath>
      <w:r>
        <w:rPr>
          <w:rFonts w:eastAsia="Georgia" w:cs="Georgia" w:ascii="Georgia" w:hAnsi="Georgia"/>
        </w:rPr>
        <w:t xml:space="preserve"> peuvent être associés à leur homologue complexe : </w:t>
      </w:r>
      <m:oMath>
        <m:sSub>
          <m:sSubPr/>
          <m:e>
            <m:bar>
              <m:barPr/>
              <m:e>
                <m:acc>
                  <m:accPr>
                    <m:chr m:val="⃗"/>
                  </m:accPr>
                  <m:e>
                    <m:r>
                      <m:rPr>
                        <m:sty m:val="i"/>
                      </m:rPr>
                      <m:t>A</m:t>
                    </m:r>
                  </m:e>
                </m:acc>
              </m:e>
            </m:bar>
          </m:e>
          <m:sub>
            <m:r>
              <m:rPr>
                <m:sty m:val="p"/>
              </m:rPr>
              <m:t>0</m:t>
            </m:r>
          </m:sub>
        </m:sSub>
        <m:r>
          <m:rPr>
            <m:sty m:val="p"/>
          </m:rPr>
          <m:t>exp</m:t>
        </m:r>
        <m:r>
          <m:rPr>
            <m:sty m:val="p"/>
          </m:rPr>
          <m:t>⁡</m:t>
        </m:r>
        <m:r>
          <m:rPr>
            <m:sty m:val="i"/>
          </m:rPr>
          <m:t>i</m:t>
        </m:r>
        <m:r>
          <m:rPr>
            <m:sty m:val="p"/>
          </m:rPr>
          <m:t>(</m:t>
        </m:r>
        <m:acc>
          <m:accPr>
            <m:chr m:val="⃗"/>
          </m:accPr>
          <m:e>
            <m:r>
              <m:rPr>
                <m:sty m:val="i"/>
              </m:rPr>
              <m:t>k</m:t>
            </m:r>
          </m:e>
        </m:acc>
        <m:r>
          <m:rPr>
            <m:sty m:val="p"/>
          </m:rPr>
          <m:t>⋅</m:t>
        </m:r>
        <m:acc>
          <m:accPr>
            <m:chr m:val="⃗"/>
          </m:accPr>
          <m:e>
            <m:r>
              <m:rPr>
                <m:sty m:val="i"/>
              </m:rPr>
              <m:t>r</m:t>
            </m:r>
          </m:e>
        </m:acc>
        <m:r>
          <m:rPr>
            <m:sty m:val="p"/>
          </m:rPr>
          <m:t>−</m:t>
        </m:r>
        <m:r>
          <m:rPr>
            <m:sty m:val="i"/>
          </m:rPr>
          <m:t>ω</m:t>
        </m:r>
        <m:r>
          <m:rPr>
            <m:sty m:val="i"/>
          </m:rPr>
          <m:t>t</m:t>
        </m:r>
        <m:r>
          <m:rPr>
            <m:sty m:val="p"/>
          </m:rPr>
          <m:t>)</m:t>
        </m:r>
      </m:oMath>
      <w:r>
        <w:rPr>
          <w:rFonts w:eastAsia="Georgia" w:cs="Georgia" w:ascii="Georgia" w:hAnsi="Georgia"/>
        </w:rPr>
        <w:t xml:space="preserve">, où </w:t>
      </w:r>
      <m:oMath>
        <m:sSub>
          <m:sSubPr/>
          <m:e>
            <m:bar>
              <m:barPr/>
              <m:e>
                <m:acc>
                  <m:accPr>
                    <m:chr m:val="⃗"/>
                  </m:accPr>
                  <m:e>
                    <m:r>
                      <m:rPr>
                        <m:sty m:val="i"/>
                      </m:rPr>
                      <m:t>A</m:t>
                    </m:r>
                  </m:e>
                </m:acc>
              </m:e>
            </m:bar>
          </m:e>
          <m:sub>
            <m:r>
              <m:rPr>
                <m:sty m:val="p"/>
              </m:rPr>
              <m:t>0</m:t>
            </m:r>
          </m:sub>
        </m:sSub>
      </m:oMath>
      <w:r>
        <w:rPr/>
        <w:t xml:space="preserve"> est une constante (respectivement </w:t>
      </w:r>
      <m:oMath>
        <m:sSub>
          <m:sSubPr/>
          <m:e>
            <m:bar>
              <m:barPr/>
              <m:e>
                <m:acc>
                  <m:accPr>
                    <m:chr m:val="⃗"/>
                  </m:accPr>
                  <m:e>
                    <m:r>
                      <m:rPr>
                        <m:sty m:val="i"/>
                      </m:rPr>
                      <m:t>E</m:t>
                    </m:r>
                  </m:e>
                </m:acc>
              </m:e>
            </m:bar>
          </m:e>
          <m:sub>
            <m:r>
              <m:rPr>
                <m:sty m:val="p"/>
              </m:rPr>
              <m:t>0</m:t>
            </m:r>
          </m:sub>
        </m:sSub>
        <m:r>
          <m:rPr>
            <m:sty m:val="p"/>
          </m:rPr>
          <m:t>,</m:t>
        </m:r>
        <m:sSub>
          <m:sSubPr/>
          <m:e>
            <m:bar>
              <m:barPr/>
              <m:e>
                <m:acc>
                  <m:accPr>
                    <m:chr m:val="⃗"/>
                  </m:accPr>
                  <m:e>
                    <m:r>
                      <m:rPr>
                        <m:sty m:val="i"/>
                      </m:rPr>
                      <m:t>P</m:t>
                    </m:r>
                  </m:e>
                </m:acc>
              </m:e>
            </m:bar>
          </m:e>
          <m:sub>
            <m:r>
              <m:rPr>
                <m:sty m:val="p"/>
              </m:rPr>
              <m:t>0</m:t>
            </m:r>
          </m:sub>
        </m:sSub>
      </m:oMath>
      <w:r>
        <w:rPr/>
        <w:t xml:space="preserve"> et </w:t>
      </w:r>
      <m:oMath>
        <m:sSub>
          <m:sSubPr/>
          <m:e>
            <m:bar>
              <m:barPr/>
              <m:e>
                <m:acc>
                  <m:accPr>
                    <m:chr m:val="⃗"/>
                  </m:accPr>
                  <m:e>
                    <m:r>
                      <m:rPr>
                        <m:sty m:val="i"/>
                      </m:rPr>
                      <m:t>D</m:t>
                    </m:r>
                  </m:e>
                </m:acc>
              </m:e>
            </m:bar>
          </m:e>
          <m:sub>
            <m:r>
              <m:rPr>
                <m:sty m:val="p"/>
              </m:rPr>
              <m:t>0</m:t>
            </m:r>
          </m:sub>
        </m:sSub>
      </m:oMath>
      <w:r>
        <w:rPr/>
        <w:t xml:space="preserve"> ). Le vecteur </w:t>
      </w:r>
      <m:oMath>
        <m:acc>
          <m:accPr>
            <m:chr m:val="⃗"/>
          </m:accPr>
          <m:e>
            <m:r>
              <m:rPr>
                <m:sty m:val="i"/>
              </m:rPr>
              <m:t>r</m:t>
            </m:r>
          </m:e>
        </m:acc>
      </m:oMath>
      <w:r>
        <w:rPr/>
        <w:t xml:space="preserve"> situe un point de l'espace, </w:t>
      </w:r>
      <m:oMath>
        <m:r>
          <m:rPr>
            <m:sty m:val="i"/>
          </m:rPr>
          <m:t>t</m:t>
        </m:r>
      </m:oMath>
      <w:r>
        <w:rPr>
          <w:rFonts w:eastAsia="Georgia" w:cs="Georgia" w:ascii="Georgia" w:hAnsi="Georgia"/>
        </w:rPr>
        <w:t xml:space="preserve"> désigne le temps (et </w:t>
      </w:r>
      <m:oMath>
        <m:sSup>
          <m:sSupPr/>
          <m:e>
            <m:r>
              <m:rPr>
                <m:sty m:val="i"/>
              </m:rPr>
              <m:t>i</m:t>
            </m:r>
          </m:e>
          <m:sup>
            <m:r>
              <m:rPr>
                <m:sty m:val="p"/>
              </m:rPr>
              <m:t>2</m:t>
            </m:r>
          </m:sup>
        </m:sSup>
        <m:r>
          <m:rPr>
            <m:sty m:val="p"/>
          </m:rPr>
          <m:t>=</m:t>
        </m:r>
        <m:r>
          <m:rPr>
            <m:sty m:val="p"/>
          </m:rPr>
          <m:t>−</m:t>
        </m:r>
        <m:r>
          <m:rPr>
            <m:sty m:val="p"/>
          </m:rPr>
          <m:t>1</m:t>
        </m:r>
      </m:oMath>
      <w:r>
        <w:rPr/>
        <w:t xml:space="preserve"> ).</w:t>
      </w:r>
      <w:r>
        <w:rPr/>
        <w:br w:type="textWrapping"/>
      </w:r>
      <w:r>
        <w:rPr/>
        <w:t xml:space="preserve">Nous notons </w:t>
      </w:r>
      <m:oMath>
        <m:r>
          <m:rPr>
            <m:sty m:val="i"/>
          </m:rPr>
          <m:t>φ</m:t>
        </m:r>
      </m:oMath>
      <w:r>
        <w:rPr>
          <w:rFonts w:eastAsia="Georgia" w:cs="Georgia" w:ascii="Georgia" w:hAnsi="Georgia"/>
        </w:rPr>
        <w:t xml:space="preserve"> l'angle (orienté dans le sens trigonométrique) entre le directeur </w:t>
      </w:r>
      <m:oMath>
        <m:acc>
          <m:accPr>
            <m:chr m:val="⃗"/>
          </m:accPr>
          <m:e>
            <m:r>
              <m:rPr>
                <m:sty m:val="i"/>
              </m:rPr>
              <m:t>n</m:t>
            </m:r>
          </m:e>
        </m:acc>
      </m:oMath>
      <w:r>
        <w:rPr/>
        <w:t xml:space="preserve"> et la direction </w:t>
      </w:r>
      <m:oMath>
        <m:acc>
          <m:accPr>
            <m:chr m:val="⃗"/>
          </m:accPr>
          <m:e>
            <m:r>
              <m:rPr>
                <m:sty m:val="i"/>
              </m:rPr>
              <m:t>u</m:t>
            </m:r>
          </m:e>
        </m:acc>
      </m:oMath>
      <w:r>
        <w:rPr>
          <w:rFonts w:eastAsia="Georgia" w:cs="Georgia" w:ascii="Georgia" w:hAnsi="Georgia"/>
        </w:rPr>
        <w:t xml:space="preserve">. Le repère orthonormé direct (Oxyz), de vecteurs unitaires associés ( </w:t>
      </w:r>
      <m:oMath>
        <m:sSub>
          <m:sSubPr/>
          <m:e>
            <m:acc>
              <m:accPr>
                <m:chr m:val="⃗"/>
              </m:accPr>
              <m:e>
                <m:r>
                  <m:rPr>
                    <m:sty m:val="i"/>
                  </m:rPr>
                  <m:t>e</m:t>
                </m:r>
              </m:e>
            </m:acc>
          </m:e>
          <m:sub>
            <m:r>
              <m:rPr>
                <m:sty m:val="i"/>
              </m:rPr>
              <m:t>x</m:t>
            </m:r>
          </m:sub>
        </m:sSub>
        <m:r>
          <m:rPr>
            <m:sty m:val="p"/>
          </m:rPr>
          <m:t>≡</m:t>
        </m:r>
        <m:acc>
          <m:accPr>
            <m:chr m:val="⃗"/>
          </m:accPr>
          <m:e>
            <m:r>
              <m:rPr>
                <m:sty m:val="i"/>
              </m:rPr>
              <m:t>n</m:t>
            </m:r>
          </m:e>
        </m:acc>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oMath>
      <w:r>
        <w:rPr/>
        <w:t xml:space="preserve"> ), est tel que </w:t>
      </w:r>
      <m:oMath>
        <m:acc>
          <m:accPr>
            <m:chr m:val="⃗"/>
          </m:accPr>
          <m:e>
            <m:r>
              <m:rPr>
                <m:sty m:val="i"/>
              </m:rPr>
              <m:t>u</m:t>
            </m:r>
          </m:e>
        </m:acc>
        <m:r>
          <m:rPr>
            <m:sty m:val="p"/>
          </m:rPr>
          <m:t>∈</m:t>
        </m:r>
        <m:r>
          <m:rPr>
            <m:sty m:val="p"/>
          </m:rPr>
          <m:t>(</m:t>
        </m:r>
        <m:r>
          <m:rPr>
            <m:sty m:val="i"/>
          </m:rPr>
          <m:t>O</m:t>
        </m:r>
        <m:r>
          <m:rPr>
            <m:sty m:val="i"/>
          </m:rPr>
          <m:t>x</m:t>
        </m:r>
        <m:r>
          <m:rPr>
            <m:sty m:val="i"/>
          </m:rPr>
          <m:t>y</m:t>
        </m:r>
        <m:r>
          <m:rPr>
            <m:sty m:val="p"/>
          </m:rPr>
          <m:t>)</m:t>
        </m:r>
      </m:oMath>
      <w:r>
        <w:rPr/>
        <w:t xml:space="preserve"> (voir figure (1)).</w:t>
      </w:r>
      <w:r>
        <w:rPr/>
        <w:br w:type="textWrapping"/>
      </w:r>
      <w:r>
        <w:rPr>
          <w:rFonts w:eastAsia="Georgia" w:cs="Georgia" w:ascii="Georgia" w:hAnsi="Georgia"/>
        </w:rPr>
        <w:t xml:space="preserve">4. Écrire les équations de Maxwell-Ampère et Maxwell-Faraday en notation complexe.</w:t>
      </w:r>
      <w:r>
        <w:rPr/>
        <w:br w:type="textWrapping"/>
      </w:r>
      <w:r>
        <w:rPr>
          <w:rFonts w:eastAsia="Georgia" w:cs="Georgia" w:ascii="Georgia" w:hAnsi="Georgia"/>
        </w:rPr>
        <w:t xml:space="preserve">5. En déduire que les vecteurs </w:t>
      </w:r>
      <m:oMath>
        <m:bar>
          <m:barPr/>
          <m:e>
            <m:acc>
              <m:accPr>
                <m:chr m:val="⃗"/>
              </m:accPr>
              <m:e>
                <m:r>
                  <m:rPr>
                    <m:sty m:val="i"/>
                  </m:rPr>
                  <m:t>E</m:t>
                </m:r>
              </m:e>
            </m:acc>
          </m:e>
        </m:bar>
      </m:oMath>
      <w:r>
        <w:rPr/>
        <w:t xml:space="preserve"> et </w:t>
      </w:r>
      <m:oMath>
        <m:bar>
          <m:barPr/>
          <m:e>
            <m:acc>
              <m:accPr>
                <m:chr m:val="⃗"/>
              </m:accPr>
              <m:e>
                <m:r>
                  <m:rPr>
                    <m:sty m:val="i"/>
                  </m:rPr>
                  <m:t>D</m:t>
                </m:r>
              </m:e>
            </m:acc>
          </m:e>
        </m:bar>
      </m:oMath>
      <w:r>
        <w:rPr/>
        <w:t xml:space="preserve"> satisfont la relation suivante :</w:t>
      </w:r>
    </w:p>
    <w:p>
      <w:pPr>
        <w:spacing w:after="220" w:lineRule="auto"/>
      </w:pPr>
      <m:oMathPara>
        <m:oMath>
          <m:bar>
            <m:barPr/>
            <m:e>
              <m:acc>
                <m:accPr>
                  <m:chr m:val="⃗"/>
                </m:accPr>
                <m:e>
                  <m:r>
                    <m:rPr>
                      <m:sty m:val="i"/>
                    </m:rPr>
                    <m:t>D</m:t>
                  </m:r>
                </m:e>
              </m:acc>
            </m:e>
          </m:bar>
          <m:r>
            <m:rPr>
              <m:sty m:val="p"/>
            </m:rPr>
            <m:t>=</m:t>
          </m:r>
          <m:f>
            <m:fPr>
              <m:ctrlPr>
                <w:rPr>
                  <w:rFonts w:ascii="Cambria Math" w:hAnsi="Cambria Math"/>
                </w:rPr>
              </m:ctrlPr>
            </m:fPr>
            <m:num>
              <m:sSup>
                <m:sSupPr/>
                <m:e>
                  <m:r>
                    <m:rPr>
                      <m:sty m:val="i"/>
                    </m:rPr>
                    <m:t>k</m:t>
                  </m:r>
                </m:e>
                <m:sup>
                  <m:r>
                    <m:rPr>
                      <m:sty m:val="p"/>
                    </m:rPr>
                    <m:t>2</m:t>
                  </m:r>
                </m:sup>
              </m:sSup>
            </m:num>
            <m:den>
              <m:sSup>
                <m:sSupPr/>
                <m:e>
                  <m:r>
                    <m:rPr>
                      <m:sty m:val="i"/>
                    </m:rPr>
                    <m:t>ω</m:t>
                  </m:r>
                </m:e>
                <m:sup>
                  <m:r>
                    <m:rPr>
                      <m:sty m:val="p"/>
                    </m:rPr>
                    <m:t>2</m:t>
                  </m:r>
                </m:sup>
              </m:sSup>
              <m:sSub>
                <m:sSubPr/>
                <m:e>
                  <m:r>
                    <m:rPr>
                      <m:sty m:val="i"/>
                    </m:rPr>
                    <m:t>μ</m:t>
                  </m:r>
                </m:e>
                <m:sub>
                  <m:r>
                    <m:rPr>
                      <m:sty m:val="p"/>
                    </m:rPr>
                    <m:t>0</m:t>
                  </m:r>
                </m:sub>
              </m:sSub>
            </m:den>
          </m:f>
          <m:r>
            <m:rPr>
              <m:sty m:val="p"/>
            </m:rPr>
            <m:t>(</m:t>
          </m:r>
          <m:bar>
            <m:barPr/>
            <m:e>
              <m:acc>
                <m:accPr>
                  <m:chr m:val="⃗"/>
                </m:accPr>
                <m:e>
                  <m:r>
                    <m:rPr>
                      <m:sty m:val="i"/>
                    </m:rPr>
                    <m:t>E</m:t>
                  </m:r>
                </m:e>
              </m:acc>
            </m:e>
          </m:bar>
          <m:r>
            <m:rPr>
              <m:sty m:val="p"/>
            </m:rPr>
            <m:t>−</m:t>
          </m:r>
          <m:r>
            <m:rPr>
              <m:sty m:val="p"/>
            </m:rPr>
            <m:t>(</m:t>
          </m:r>
          <m:acc>
            <m:accPr>
              <m:chr m:val="⃗"/>
            </m:accPr>
            <m:e>
              <m:r>
                <m:rPr>
                  <m:sty m:val="i"/>
                </m:rPr>
                <m:t>u</m:t>
              </m:r>
            </m:e>
          </m:acc>
          <m:r>
            <m:rPr>
              <m:sty m:val="p"/>
            </m:rPr>
            <m:t>⋅</m:t>
          </m:r>
          <m:bar>
            <m:barPr/>
            <m:e>
              <m:acc>
                <m:accPr>
                  <m:chr m:val="⃗"/>
                </m:accPr>
                <m:e>
                  <m:r>
                    <m:rPr>
                      <m:sty m:val="i"/>
                    </m:rPr>
                    <m:t>E</m:t>
                  </m:r>
                </m:e>
              </m:acc>
            </m:e>
          </m:bar>
          <m:r>
            <m:rPr>
              <m:sty m:val="p"/>
            </m:rPr>
            <m:t>)</m:t>
          </m:r>
          <m:acc>
            <m:accPr>
              <m:chr m:val="⃗"/>
            </m:accPr>
            <m:e>
              <m:r>
                <m:rPr>
                  <m:sty m:val="i"/>
                </m:rPr>
                <m:t>u</m:t>
              </m:r>
            </m:e>
          </m:acc>
          <m:r>
            <m:rPr>
              <m:sty m:val="p"/>
            </m:rPr>
            <m:t>)</m:t>
          </m:r>
          <m:r>
            <m:rPr>
              <m:sty m:val="p"/>
            </m:rPr>
            <m:t>.</m:t>
          </m:r>
        </m:oMath>
      </m:oMathPara>
    </w:p>
    <w:p>
      <w:pPr>
        <w:numPr>
          <w:ilvl w:val="0"/>
          <w:numId w:val="4"/>
        </w:numPr>
        <w:spacing w:lineRule="auto"/>
      </w:pPr>
      <w:r>
        <w:rPr>
          <w:rFonts w:eastAsia="Georgia" w:cs="Georgia" w:ascii="Georgia" w:hAnsi="Georgia"/>
        </w:rPr>
        <w:t xml:space="preserve">Établir que les composantes du vecteur </w:t>
      </w:r>
      <m:oMath>
        <m:acc>
          <m:accPr>
            <m:chr m:val="⃗"/>
          </m:accPr>
          <m:e>
            <m:r>
              <m:rPr>
                <m:sty m:val="i"/>
              </m:rPr>
              <m:t>D</m:t>
            </m:r>
          </m:e>
        </m:acc>
      </m:oMath>
      <w:r>
        <w:rPr>
          <w:rFonts w:eastAsia="Georgia" w:cs="Georgia" w:ascii="Georgia" w:hAnsi="Georgia"/>
        </w:rPr>
        <w:t xml:space="preserve"> s'écrivent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D</m:t>
                        </m:r>
                      </m:e>
                      <m:sub>
                        <m:r>
                          <m:rPr>
                            <m:sty m:val="i"/>
                          </m:rPr>
                          <m:t>x</m:t>
                        </m:r>
                      </m:sub>
                    </m:sSub>
                    <m:r>
                      <m:rPr>
                        <m:sty m:val="p"/>
                      </m:rPr>
                      <m:t>=</m:t>
                    </m:r>
                    <m:f>
                      <m:fPr>
                        <m:ctrlPr>
                          <w:rPr>
                            <w:rFonts w:ascii="Cambria Math" w:hAnsi="Cambria Math"/>
                          </w:rPr>
                        </m:ctrlPr>
                      </m:fPr>
                      <m:num>
                        <m:sSup>
                          <m:sSupPr/>
                          <m:e>
                            <m:r>
                              <m:rPr>
                                <m:sty m:val="i"/>
                              </m:rPr>
                              <m:t>k</m:t>
                            </m:r>
                          </m:e>
                          <m:sup>
                            <m:r>
                              <m:rPr>
                                <m:sty m:val="p"/>
                              </m:rPr>
                              <m:t>2</m:t>
                            </m:r>
                          </m:sup>
                        </m:sSup>
                      </m:num>
                      <m:den>
                        <m:sSup>
                          <m:sSupPr/>
                          <m:e>
                            <m:r>
                              <m:rPr>
                                <m:sty m:val="i"/>
                              </m:rPr>
                              <m:t>ω</m:t>
                            </m:r>
                          </m:e>
                          <m:sup>
                            <m:r>
                              <m:rPr>
                                <m:sty m:val="p"/>
                              </m:rPr>
                              <m:t>2</m:t>
                            </m:r>
                          </m:sup>
                        </m:sSup>
                        <m:sSub>
                          <m:sSubPr/>
                          <m:e>
                            <m:r>
                              <m:rPr>
                                <m:sty m:val="i"/>
                              </m:rPr>
                              <m:t>μ</m:t>
                            </m:r>
                          </m:e>
                          <m:sub>
                            <m:r>
                              <m:rPr>
                                <m:sty m:val="p"/>
                              </m:rPr>
                              <m:t>0</m:t>
                            </m:r>
                          </m:sub>
                        </m:sSub>
                      </m:den>
                    </m:f>
                    <m:d>
                      <m:dPr>
                        <m:begChr m:val="("/>
                        <m:endChr m:val=")"/>
                        <m:ctrlPr>
                          <w:rPr>
                            <w:rFonts w:ascii="Cambria Math" w:hAnsi="Cambria Math"/>
                          </w:rPr>
                        </m:ctrlPr>
                      </m:dPr>
                      <m:e>
                        <m:sSup>
                          <m:sSupPr/>
                          <m:e>
                            <m:r>
                              <m:rPr>
                                <m:sty m:val="p"/>
                              </m:rPr>
                              <m:t>sin</m:t>
                            </m:r>
                          </m:e>
                          <m:sup>
                            <m:r>
                              <m:rPr>
                                <m:sty m:val="p"/>
                              </m:rPr>
                              <m:t>2</m:t>
                            </m:r>
                          </m:sup>
                        </m:sSup>
                        <m:r>
                          <m:rPr>
                            <m:sty m:val="p"/>
                          </m:rPr>
                          <m:t>⁡</m:t>
                        </m:r>
                        <m:r>
                          <m:rPr>
                            <m:sty m:val="i"/>
                          </m:rPr>
                          <m:t>φ</m:t>
                        </m:r>
                        <m:sSub>
                          <m:sSubPr/>
                          <m:e>
                            <m:r>
                              <m:rPr>
                                <m:sty m:val="i"/>
                              </m:rPr>
                              <m:t>E</m:t>
                            </m:r>
                          </m:e>
                          <m:sub>
                            <m:r>
                              <m:rPr>
                                <m:sty m:val="i"/>
                              </m:rPr>
                              <m:t>x</m:t>
                            </m:r>
                          </m:sub>
                        </m:sSub>
                        <m:r>
                          <m:rPr>
                            <m:sty m:val="p"/>
                          </m:rPr>
                          <m:t>−</m:t>
                        </m:r>
                        <m:r>
                          <m:rPr>
                            <m:sty m:val="p"/>
                          </m:rPr>
                          <m:t>cos</m:t>
                        </m:r>
                        <m:r>
                          <m:rPr>
                            <m:sty m:val="p"/>
                          </m:rPr>
                          <m:t>⁡</m:t>
                        </m:r>
                        <m:r>
                          <m:rPr>
                            <m:sty m:val="i"/>
                          </m:rPr>
                          <m:t>φ</m:t>
                        </m:r>
                        <m:r>
                          <m:rPr>
                            <m:sty m:val="p"/>
                          </m:rPr>
                          <m:t>sin</m:t>
                        </m:r>
                        <m:r>
                          <m:rPr>
                            <m:sty m:val="p"/>
                          </m:rPr>
                          <m:t>⁡</m:t>
                        </m:r>
                        <m:r>
                          <m:rPr>
                            <m:sty m:val="i"/>
                          </m:rPr>
                          <m:t>φ</m:t>
                        </m:r>
                        <m:sSub>
                          <m:sSubPr/>
                          <m:e>
                            <m:r>
                              <m:rPr>
                                <m:sty m:val="i"/>
                              </m:rPr>
                              <m:t>E</m:t>
                            </m:r>
                          </m:e>
                          <m:sub>
                            <m:r>
                              <m:rPr>
                                <m:sty m:val="i"/>
                              </m:rPr>
                              <m:t>y</m:t>
                            </m:r>
                          </m:sub>
                        </m:sSub>
                      </m:e>
                    </m:d>
                  </m:e>
                </m:mr>
                <m:mr>
                  <m:e>
                    <m:sSub>
                      <m:sSubPr/>
                      <m:e>
                        <m:r>
                          <m:rPr>
                            <m:sty m:val="i"/>
                          </m:rPr>
                          <m:t>D</m:t>
                        </m:r>
                      </m:e>
                      <m:sub>
                        <m:r>
                          <m:rPr>
                            <m:sty m:val="i"/>
                          </m:rPr>
                          <m:t>y</m:t>
                        </m:r>
                      </m:sub>
                    </m:sSub>
                    <m:r>
                      <m:rPr>
                        <m:sty m:val="p"/>
                      </m:rPr>
                      <m:t>=</m:t>
                    </m:r>
                    <m:f>
                      <m:fPr>
                        <m:ctrlPr>
                          <w:rPr>
                            <w:rFonts w:ascii="Cambria Math" w:hAnsi="Cambria Math"/>
                          </w:rPr>
                        </m:ctrlPr>
                      </m:fPr>
                      <m:num>
                        <m:sSup>
                          <m:sSupPr/>
                          <m:e>
                            <m:r>
                              <m:rPr>
                                <m:sty m:val="i"/>
                              </m:rPr>
                              <m:t>k</m:t>
                            </m:r>
                          </m:e>
                          <m:sup>
                            <m:r>
                              <m:rPr>
                                <m:sty m:val="p"/>
                              </m:rPr>
                              <m:t>2</m:t>
                            </m:r>
                          </m:sup>
                        </m:sSup>
                      </m:num>
                      <m:den>
                        <m:sSup>
                          <m:sSupPr/>
                          <m:e>
                            <m:r>
                              <m:rPr>
                                <m:sty m:val="i"/>
                              </m:rPr>
                              <m:t>ω</m:t>
                            </m:r>
                          </m:e>
                          <m:sup>
                            <m:r>
                              <m:rPr>
                                <m:sty m:val="p"/>
                              </m:rPr>
                              <m:t>2</m:t>
                            </m:r>
                          </m:sup>
                        </m:sSup>
                        <m:sSub>
                          <m:sSubPr/>
                          <m:e>
                            <m:r>
                              <m:rPr>
                                <m:sty m:val="i"/>
                              </m:rPr>
                              <m:t>μ</m:t>
                            </m:r>
                          </m:e>
                          <m:sub>
                            <m:r>
                              <m:rPr>
                                <m:sty m:val="p"/>
                              </m:rPr>
                              <m:t>0</m:t>
                            </m:r>
                          </m:sub>
                        </m:sSub>
                      </m:den>
                    </m:f>
                    <m:d>
                      <m:dPr>
                        <m:begChr m:val="("/>
                        <m:endChr m:val=")"/>
                        <m:ctrlPr>
                          <w:rPr>
                            <w:rFonts w:ascii="Cambria Math" w:hAnsi="Cambria Math"/>
                          </w:rPr>
                        </m:ctrlPr>
                      </m:dPr>
                      <m:e>
                        <m:r>
                          <m:rPr>
                            <m:sty m:val="p"/>
                          </m:rPr>
                          <m:t>−</m:t>
                        </m:r>
                        <m:r>
                          <m:rPr>
                            <m:sty m:val="p"/>
                          </m:rPr>
                          <m:t>cos</m:t>
                        </m:r>
                        <m:r>
                          <m:rPr>
                            <m:sty m:val="p"/>
                          </m:rPr>
                          <m:t>⁡</m:t>
                        </m:r>
                        <m:r>
                          <m:rPr>
                            <m:sty m:val="i"/>
                          </m:rPr>
                          <m:t>φ</m:t>
                        </m:r>
                        <m:r>
                          <m:rPr>
                            <m:sty m:val="p"/>
                          </m:rPr>
                          <m:t>sin</m:t>
                        </m:r>
                        <m:r>
                          <m:rPr>
                            <m:sty m:val="p"/>
                          </m:rPr>
                          <m:t>⁡</m:t>
                        </m:r>
                        <m:r>
                          <m:rPr>
                            <m:sty m:val="i"/>
                          </m:rPr>
                          <m:t>φ</m:t>
                        </m:r>
                        <m:sSub>
                          <m:sSubPr/>
                          <m:e>
                            <m:r>
                              <m:rPr>
                                <m:sty m:val="i"/>
                              </m:rPr>
                              <m:t>E</m:t>
                            </m:r>
                          </m:e>
                          <m:sub>
                            <m:r>
                              <m:rPr>
                                <m:sty m:val="i"/>
                              </m:rPr>
                              <m:t>x</m:t>
                            </m:r>
                          </m:sub>
                        </m:sSub>
                        <m:r>
                          <m:rPr>
                            <m:sty m:val="p"/>
                          </m:rPr>
                          <m:t>+</m:t>
                        </m:r>
                        <m:sSup>
                          <m:sSupPr/>
                          <m:e>
                            <m:r>
                              <m:rPr>
                                <m:sty m:val="p"/>
                              </m:rPr>
                              <m:t>cos</m:t>
                            </m:r>
                          </m:e>
                          <m:sup>
                            <m:r>
                              <m:rPr>
                                <m:sty m:val="p"/>
                              </m:rPr>
                              <m:t>2</m:t>
                            </m:r>
                          </m:sup>
                        </m:sSup>
                        <m:r>
                          <m:rPr>
                            <m:sty m:val="p"/>
                          </m:rPr>
                          <m:t>⁡</m:t>
                        </m:r>
                        <m:r>
                          <m:rPr>
                            <m:sty m:val="i"/>
                          </m:rPr>
                          <m:t>φ</m:t>
                        </m:r>
                        <m:sSub>
                          <m:sSubPr/>
                          <m:e>
                            <m:r>
                              <m:rPr>
                                <m:sty m:val="i"/>
                              </m:rPr>
                              <m:t>E</m:t>
                            </m:r>
                          </m:e>
                          <m:sub>
                            <m:r>
                              <m:rPr>
                                <m:sty m:val="i"/>
                              </m:rPr>
                              <m:t>y</m:t>
                            </m:r>
                          </m:sub>
                        </m:sSub>
                      </m:e>
                    </m:d>
                  </m:e>
                </m:mr>
                <m:mr>
                  <m:e>
                    <m:sSub>
                      <m:sSubPr/>
                      <m:e>
                        <m:r>
                          <m:rPr>
                            <m:sty m:val="i"/>
                          </m:rPr>
                          <m:t>D</m:t>
                        </m:r>
                      </m:e>
                      <m:sub>
                        <m:r>
                          <m:rPr>
                            <m:sty m:val="i"/>
                          </m:rPr>
                          <m:t>z</m:t>
                        </m:r>
                      </m:sub>
                    </m:sSub>
                    <m:r>
                      <m:rPr>
                        <m:sty m:val="p"/>
                      </m:rPr>
                      <m:t>=</m:t>
                    </m:r>
                    <m:f>
                      <m:fPr>
                        <m:ctrlPr>
                          <w:rPr>
                            <w:rFonts w:ascii="Cambria Math" w:hAnsi="Cambria Math"/>
                          </w:rPr>
                        </m:ctrlPr>
                      </m:fPr>
                      <m:num>
                        <m:sSup>
                          <m:sSupPr/>
                          <m:e>
                            <m:r>
                              <m:rPr>
                                <m:sty m:val="i"/>
                              </m:rPr>
                              <m:t>k</m:t>
                            </m:r>
                          </m:e>
                          <m:sup>
                            <m:r>
                              <m:rPr>
                                <m:sty m:val="p"/>
                              </m:rPr>
                              <m:t>2</m:t>
                            </m:r>
                          </m:sup>
                        </m:sSup>
                      </m:num>
                      <m:den>
                        <m:sSup>
                          <m:sSupPr/>
                          <m:e>
                            <m:r>
                              <m:rPr>
                                <m:sty m:val="i"/>
                              </m:rPr>
                              <m:t>ω</m:t>
                            </m:r>
                          </m:e>
                          <m:sup>
                            <m:r>
                              <m:rPr>
                                <m:sty m:val="p"/>
                              </m:rPr>
                              <m:t>2</m:t>
                            </m:r>
                          </m:sup>
                        </m:sSup>
                        <m:sSub>
                          <m:sSubPr/>
                          <m:e>
                            <m:r>
                              <m:rPr>
                                <m:sty m:val="i"/>
                              </m:rPr>
                              <m:t>μ</m:t>
                            </m:r>
                          </m:e>
                          <m:sub>
                            <m:r>
                              <m:rPr>
                                <m:sty m:val="p"/>
                              </m:rPr>
                              <m:t>0</m:t>
                            </m:r>
                          </m:sub>
                        </m:sSub>
                      </m:den>
                    </m:f>
                    <m:sSub>
                      <m:sSubPr/>
                      <m:e>
                        <m:r>
                          <m:rPr>
                            <m:sty m:val="i"/>
                          </m:rPr>
                          <m:t>E</m:t>
                        </m:r>
                      </m:e>
                      <m:sub>
                        <m:r>
                          <m:rPr>
                            <m:sty m:val="i"/>
                          </m:rPr>
                          <m:t>z</m:t>
                        </m:r>
                      </m:sub>
                    </m:sSub>
                  </m:e>
                </m:mr>
              </m:m>
            </m:e>
          </m:d>
        </m:oMath>
      </m:oMathPara>
    </w:p>
    <w:p>
      <w:pPr>
        <w:numPr>
          <w:ilvl w:val="0"/>
          <w:numId w:val="5"/>
        </w:numPr>
        <w:spacing w:lineRule="auto"/>
      </w:pPr>
      <w:r>
        <w:rPr>
          <w:rFonts w:eastAsia="Georgia" w:cs="Georgia" w:ascii="Georgia" w:hAnsi="Georgia"/>
        </w:rPr>
        <w:t xml:space="preserve">Préciser la direction relative du vecteur </w:t>
      </w:r>
      <m:oMath>
        <m:acc>
          <m:accPr>
            <m:chr m:val="⃗"/>
          </m:accPr>
          <m:e>
            <m:r>
              <m:rPr>
                <m:sty m:val="i"/>
              </m:rPr>
              <m:t>D</m:t>
            </m:r>
          </m:e>
        </m:acc>
      </m:oMath>
      <w:r>
        <w:rPr>
          <w:rFonts w:eastAsia="Georgia" w:cs="Georgia" w:ascii="Georgia" w:hAnsi="Georgia"/>
        </w:rPr>
        <w:t xml:space="preserve"> par rapport à </w:t>
      </w:r>
      <m:oMath>
        <m:acc>
          <m:accPr>
            <m:chr m:val="⃗"/>
          </m:accPr>
          <m:e>
            <m:r>
              <m:rPr>
                <m:sty m:val="i"/>
              </m:rPr>
              <m:t>k</m:t>
            </m:r>
          </m:e>
        </m:acc>
      </m:oMath>
      <w:r>
        <w:rPr/>
        <w:t xml:space="preserve">.</w:t>
      </w:r>
    </w:p>
    <w:p>
      <w:pPr>
        <w:spacing w:line="271" w:before="330" w:lineRule="auto"/>
      </w:pPr>
      <w:r>
        <w:rPr>
          <w:rFonts w:eastAsia="Georgia" w:cs="Georgia" w:ascii="Georgia" w:hAnsi="Georgia"/>
          <w:b/>
          <w:sz w:val="42"/>
        </w:rPr>
        <w:t xml:space="preserve">II Biréfringence de la phase nématique.</w:t>
      </w:r>
    </w:p>
    <w:p>
      <w:pPr>
        <w:spacing w:after="220" w:lineRule="auto"/>
      </w:pPr>
      <w:r>
        <w:rPr>
          <w:rFonts w:eastAsia="Georgia" w:cs="Georgia" w:ascii="Georgia" w:hAnsi="Georgia"/>
        </w:rPr>
        <w:t xml:space="preserve">Dans un milieu matériel homogène, isotrope et linéaire, le vecteur polarisation est lié au champ électrique par la relation linéaire: </w:t>
      </w:r>
      <m:oMath>
        <m:acc>
          <m:accPr>
            <m:chr m:val="⃗"/>
          </m:accPr>
          <m:e>
            <m:r>
              <m:rPr>
                <m:sty m:val="i"/>
              </m:rPr>
              <m:t>P</m:t>
            </m:r>
          </m:e>
        </m:acc>
        <m:r>
          <m:rPr>
            <m:sty m:val="p"/>
          </m:rPr>
          <m:t>=</m:t>
        </m:r>
        <m:sSub>
          <m:sSubPr/>
          <m:e>
            <m:r>
              <m:rPr>
                <m:sty m:val="i"/>
              </m:rPr>
              <m:t>ϵ</m:t>
            </m:r>
          </m:e>
          <m:sub>
            <m:r>
              <m:rPr>
                <m:sty m:val="p"/>
              </m:rPr>
              <m:t>0</m:t>
            </m:r>
          </m:sub>
        </m:sSub>
        <m:r>
          <m:rPr>
            <m:sty m:val="i"/>
          </m:rPr>
          <m:t>χ</m:t>
        </m:r>
        <m:acc>
          <m:accPr>
            <m:chr m:val="⃗"/>
          </m:accPr>
          <m:e>
            <m:r>
              <m:rPr>
                <m:sty m:val="i"/>
              </m:rPr>
              <m:t>E</m:t>
            </m:r>
          </m:e>
        </m:acc>
      </m:oMath>
      <w:r>
        <w:rPr>
          <w:rFonts w:eastAsia="Georgia" w:cs="Georgia" w:ascii="Georgia" w:hAnsi="Georgia"/>
        </w:rPr>
        <w:t xml:space="preserve">, où </w:t>
      </w:r>
      <m:oMath>
        <m:r>
          <m:rPr>
            <m:sty m:val="i"/>
          </m:rPr>
          <m:t>χ</m:t>
        </m:r>
      </m:oMath>
      <w:r>
        <w:rPr>
          <w:rFonts w:eastAsia="Georgia" w:cs="Georgia" w:ascii="Georgia" w:hAnsi="Georgia"/>
        </w:rPr>
        <w:t xml:space="preserve"> est un scalaire uniforme qui représente la susceptibilité du milieu ( </w:t>
      </w:r>
      <m:oMath>
        <m:r>
          <m:rPr>
            <m:sty m:val="i"/>
          </m:rPr>
          <m:t>χ</m:t>
        </m:r>
        <m:r>
          <m:rPr>
            <m:sty m:val="p"/>
          </m:rPr>
          <m:t>≥</m:t>
        </m:r>
        <m:r>
          <m:rPr>
            <m:sty m:val="p"/>
          </m:rPr>
          <m:t>0</m:t>
        </m:r>
      </m:oMath>
      <w:r>
        <w:rPr/>
        <w:t xml:space="preserve"> ).</w:t>
      </w:r>
    </w:p>
    <w:p>
      <w:pPr>
        <w:spacing w:after="220" w:lineRule="auto"/>
      </w:pPr>
      <w:r>
        <w:rPr>
          <w:rFonts w:eastAsia="Georgia" w:cs="Georgia" w:ascii="Georgia" w:hAnsi="Georgia"/>
        </w:rPr>
        <w:t xml:space="preserve">Ici, nous considérons que les molécules de cristal liquide ne sont polarisables que selon leur axe </w:t>
      </w:r>
      <m:oMath>
        <m:acc>
          <m:accPr>
            <m:chr m:val="⃗"/>
          </m:accPr>
          <m:e>
            <m:r>
              <m:rPr>
                <m:sty m:val="i"/>
              </m:rPr>
              <m:t>n</m:t>
            </m:r>
          </m:e>
        </m:acc>
      </m:oMath>
      <w:r>
        <w:rPr>
          <w:rFonts w:eastAsia="Georgia" w:cs="Georgia" w:ascii="Georgia" w:hAnsi="Georgia"/>
        </w:rPr>
        <w:t xml:space="preserve">. En raison de son ordre directionnel, un cristal liquide nématique présente alors une anisotropie de la relation linéaire liant </w:t>
      </w:r>
      <m:oMath>
        <m:acc>
          <m:accPr>
            <m:chr m:val="⃗"/>
          </m:accPr>
          <m:e>
            <m:r>
              <m:rPr>
                <m:sty m:val="i"/>
              </m:rPr>
              <m:t>P</m:t>
            </m:r>
          </m:e>
        </m:acc>
      </m:oMath>
      <w:r>
        <w:rPr>
          <w:rFonts w:eastAsia="Georgia" w:cs="Georgia" w:ascii="Georgia" w:hAnsi="Georgia"/>
        </w:rPr>
        <w:t xml:space="preserve"> à </w:t>
      </w:r>
      <m:oMath>
        <m:acc>
          <m:accPr>
            <m:chr m:val="⃗"/>
          </m:accPr>
          <m:e>
            <m:r>
              <m:rPr>
                <m:sty m:val="i"/>
              </m:rPr>
              <m:t>E</m:t>
            </m:r>
          </m:e>
        </m:acc>
      </m:oMath>
      <w:r>
        <w:rPr>
          <w:rFonts w:eastAsia="Georgia" w:cs="Georgia" w:ascii="Georgia" w:hAnsi="Georgia"/>
        </w:rPr>
        <w:t xml:space="preserve">. Dans ce problème, les effets de cette anisotropie sont entièrement modélisés en considérant que la susceptibilité du milieu dépend de la direction du champ électrique.</w:t>
      </w:r>
      <w:r>
        <w:rPr/>
        <w:br w:type="textWrapping"/>
      </w:r>
      <w:r>
        <w:rPr>
          <w:rFonts w:eastAsia="Georgia" w:cs="Georgia" w:ascii="Georgia" w:hAnsi="Georgia"/>
        </w:rPr>
        <w:t xml:space="preserve">8. En considérant l'axe de polarisation des molécules, exprimer </w:t>
      </w:r>
      <m:oMath>
        <m:sSub>
          <m:sSubPr/>
          <m:e>
            <m:r>
              <m:rPr>
                <m:sty m:val="i"/>
              </m:rPr>
              <m:t>P</m:t>
            </m:r>
          </m:e>
          <m:sub>
            <m:r>
              <m:rPr>
                <m:sty m:val="i"/>
              </m:rPr>
              <m:t>x</m:t>
            </m:r>
          </m:sub>
        </m:sSub>
        <m:r>
          <m:rPr>
            <m:sty m:val="p"/>
          </m:rPr>
          <m:t>,</m:t>
        </m:r>
        <m:sSub>
          <m:sSubPr/>
          <m:e>
            <m:r>
              <m:rPr>
                <m:sty m:val="i"/>
              </m:rPr>
              <m:t>P</m:t>
            </m:r>
          </m:e>
          <m:sub>
            <m:r>
              <m:rPr>
                <m:sty m:val="i"/>
              </m:rPr>
              <m:t>y</m:t>
            </m:r>
          </m:sub>
        </m:sSub>
      </m:oMath>
      <w:r>
        <w:rPr/>
        <w:t xml:space="preserve"> et </w:t>
      </w:r>
      <m:oMath>
        <m:sSub>
          <m:sSubPr/>
          <m:e>
            <m:r>
              <m:rPr>
                <m:sty m:val="i"/>
              </m:rPr>
              <m:t>P</m:t>
            </m:r>
          </m:e>
          <m:sub>
            <m:r>
              <m:rPr>
                <m:sty m:val="i"/>
              </m:rPr>
              <m:t>z</m:t>
            </m:r>
          </m:sub>
        </m:sSub>
      </m:oMath>
      <w:r>
        <w:rPr/>
        <w:t xml:space="preserve"> en fonction de </w:t>
      </w:r>
      <m:oMath>
        <m:sSub>
          <m:sSubPr/>
          <m:e>
            <m:r>
              <m:rPr>
                <m:sty m:val="i"/>
              </m:rPr>
              <m:t>E</m:t>
            </m:r>
          </m:e>
          <m:sub>
            <m:r>
              <m:rPr>
                <m:sty m:val="i"/>
              </m:rPr>
              <m:t>x</m:t>
            </m:r>
          </m:sub>
        </m:sSub>
        <m:r>
          <m:rPr>
            <m:sty m:val="p"/>
          </m:rPr>
          <m:t>,</m:t>
        </m:r>
        <m:sSub>
          <m:sSubPr/>
          <m:e>
            <m:r>
              <m:rPr>
                <m:sty m:val="i"/>
              </m:rPr>
              <m:t>E</m:t>
            </m:r>
          </m:e>
          <m:sub>
            <m:r>
              <m:rPr>
                <m:sty m:val="i"/>
              </m:rPr>
              <m:t>y</m:t>
            </m:r>
          </m:sub>
        </m:sSub>
      </m:oMath>
      <w:r>
        <w:rPr/>
        <w:t xml:space="preserve"> et </w:t>
      </w:r>
      <m:oMath>
        <m:sSub>
          <m:sSubPr/>
          <m:e>
            <m:r>
              <m:rPr>
                <m:sty m:val="i"/>
              </m:rPr>
              <m:t>E</m:t>
            </m:r>
          </m:e>
          <m:sub>
            <m:r>
              <m:rPr>
                <m:sty m:val="i"/>
              </m:rPr>
              <m:t>z</m:t>
            </m:r>
          </m:sub>
        </m:sSub>
      </m:oMath>
      <w:r>
        <w:rPr>
          <w:rFonts w:eastAsia="Georgia" w:cs="Georgia" w:ascii="Georgia" w:hAnsi="Georgia"/>
        </w:rPr>
        <w:t xml:space="preserve"> et des susceptibilités </w:t>
      </w:r>
      <m:oMath>
        <m:sSub>
          <m:sSubPr/>
          <m:e>
            <m:r>
              <m:rPr>
                <m:sty m:val="i"/>
              </m:rPr>
              <m:t>χ</m:t>
            </m:r>
          </m:e>
          <m:sub>
            <m:r>
              <m:rPr>
                <m:sty m:val="i"/>
              </m:rPr>
              <m:t>x</m:t>
            </m:r>
          </m:sub>
        </m:sSub>
        <m:r>
          <m:rPr>
            <m:sty m:val="p"/>
          </m:rPr>
          <m:t>,</m:t>
        </m:r>
        <m:sSub>
          <m:sSubPr/>
          <m:e>
            <m:r>
              <m:rPr>
                <m:sty m:val="i"/>
              </m:rPr>
              <m:t>χ</m:t>
            </m:r>
          </m:e>
          <m:sub>
            <m:r>
              <m:rPr>
                <m:sty m:val="i"/>
              </m:rPr>
              <m:t>y</m:t>
            </m:r>
          </m:sub>
        </m:sSub>
      </m:oMath>
      <w:r>
        <w:rPr/>
        <w:t xml:space="preserve"> et </w:t>
      </w:r>
      <m:oMath>
        <m:sSub>
          <m:sSubPr/>
          <m:e>
            <m:r>
              <m:rPr>
                <m:sty m:val="i"/>
              </m:rPr>
              <m:t>χ</m:t>
            </m:r>
          </m:e>
          <m:sub>
            <m:r>
              <m:rPr>
                <m:sty m:val="i"/>
              </m:rPr>
              <m:t>z</m:t>
            </m:r>
          </m:sub>
        </m:sSub>
      </m:oMath>
      <w:r>
        <w:rPr>
          <w:rFonts w:eastAsia="Georgia" w:cs="Georgia" w:ascii="Georgia" w:hAnsi="Georgia"/>
        </w:rPr>
        <w:t xml:space="preserve"> correspondantes. Préciser les valeurs de </w:t>
      </w:r>
      <m:oMath>
        <m:sSub>
          <m:sSubPr/>
          <m:e>
            <m:r>
              <m:rPr>
                <m:sty m:val="i"/>
              </m:rPr>
              <m:t>χ</m:t>
            </m:r>
          </m:e>
          <m:sub>
            <m:r>
              <m:rPr>
                <m:sty m:val="i"/>
              </m:rPr>
              <m:t>y</m:t>
            </m:r>
          </m:sub>
        </m:sSub>
      </m:oMath>
      <w:r>
        <w:rPr/>
        <w:t xml:space="preserve"> et </w:t>
      </w:r>
      <m:oMath>
        <m:sSub>
          <m:sSubPr/>
          <m:e>
            <m:r>
              <m:rPr>
                <m:sty m:val="i"/>
              </m:rPr>
              <m:t>χ</m:t>
            </m:r>
          </m:e>
          <m:sub>
            <m:r>
              <m:rPr>
                <m:sty m:val="i"/>
              </m:rPr>
              <m:t>z</m:t>
            </m:r>
          </m:sub>
        </m:sSub>
      </m:oMath>
      <w:r>
        <w:rPr/>
        <w:t xml:space="preserve">.</w:t>
      </w:r>
      <w:r>
        <w:rPr/>
        <w:br w:type="textWrapping"/>
      </w:r>
      <w:r>
        <w:rPr/>
        <w:t xml:space="preserve">Dans la suite, nous noterons </w:t>
      </w:r>
      <m:oMath>
        <m:sSub>
          <m:sSubPr/>
          <m:e>
            <m:r>
              <m:rPr>
                <m:sty m:val="i"/>
              </m:rPr>
              <m:t>χ</m:t>
            </m:r>
          </m:e>
          <m:sub>
            <m:r>
              <m:rPr>
                <m:sty m:val="i"/>
              </m:rPr>
              <m:t>x</m:t>
            </m:r>
          </m:sub>
        </m:sSub>
        <m:r>
          <m:rPr>
            <m:sty m:val="p"/>
          </m:rPr>
          <m:t>≡</m:t>
        </m:r>
        <m:r>
          <m:rPr>
            <m:sty m:val="i"/>
          </m:rPr>
          <m:t>χ</m:t>
        </m:r>
      </m:oMath>
      <w:r>
        <w:rPr>
          <w:rFonts w:eastAsia="Georgia" w:cs="Georgia" w:ascii="Georgia" w:hAnsi="Georgia"/>
        </w:rPr>
        <w:t xml:space="preserve"> que nous considérerons comme un réel constant.</w:t>
      </w:r>
      <w:r>
        <w:rPr/>
        <w:br w:type="textWrapping"/>
      </w:r>
      <w:r>
        <w:rPr/>
        <w:t xml:space="preserve">9. Montrer alors que les composantes de </w:t>
      </w:r>
      <m:oMath>
        <m:acc>
          <m:accPr>
            <m:chr m:val="⃗"/>
          </m:accPr>
          <m:e>
            <m:r>
              <m:rPr>
                <m:sty m:val="i"/>
              </m:rPr>
              <m:t>D</m:t>
            </m:r>
          </m:e>
        </m:acc>
      </m:oMath>
      <w:r>
        <w:rPr>
          <w:rFonts w:eastAsia="Georgia" w:cs="Georgia" w:ascii="Georgia" w:hAnsi="Georgia"/>
        </w:rPr>
        <w:t xml:space="preserve"> vérifient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r>
                          <m:rPr>
                            <m:sty m:val="i"/>
                          </m:rPr>
                          <m:t>D</m:t>
                        </m:r>
                      </m:e>
                      <m:sub>
                        <m:r>
                          <m:rPr>
                            <m:sty m:val="i"/>
                          </m:rPr>
                          <m:t>x</m:t>
                        </m:r>
                      </m:sub>
                    </m:sSub>
                    <m:r>
                      <m:rPr>
                        <m:sty m:val="p"/>
                      </m:rPr>
                      <m:t>=</m:t>
                    </m:r>
                    <m:sSub>
                      <m:sSubPr/>
                      <m:e>
                        <m:r>
                          <m:rPr>
                            <m:sty m:val="i"/>
                          </m:rPr>
                          <m:t>ϵ</m:t>
                        </m:r>
                      </m:e>
                      <m:sub>
                        <m:r>
                          <m:rPr>
                            <m:sty m:val="p"/>
                          </m:rPr>
                          <m:t>0</m:t>
                        </m:r>
                      </m:sub>
                    </m:sSub>
                    <m:sSub>
                      <m:sSubPr/>
                      <m:e>
                        <m:r>
                          <m:rPr>
                            <m:sty m:val="i"/>
                          </m:rPr>
                          <m:t>ϵ</m:t>
                        </m:r>
                      </m:e>
                      <m:sub>
                        <m:r>
                          <m:rPr>
                            <m:sty m:val="p"/>
                          </m:rPr>
                          <m:t>‖</m:t>
                        </m:r>
                      </m:sub>
                    </m:sSub>
                    <m:sSub>
                      <m:sSubPr/>
                      <m:e>
                        <m:r>
                          <m:rPr>
                            <m:sty m:val="i"/>
                          </m:rPr>
                          <m:t>E</m:t>
                        </m:r>
                      </m:e>
                      <m:sub>
                        <m:r>
                          <m:rPr>
                            <m:sty m:val="i"/>
                          </m:rPr>
                          <m:t>x</m:t>
                        </m:r>
                      </m:sub>
                    </m:sSub>
                  </m:e>
                </m:mr>
                <m:mr>
                  <m:e>
                    <m:sSub>
                      <m:sSubPr/>
                      <m:e>
                        <m:r>
                          <m:rPr>
                            <m:sty m:val="i"/>
                          </m:rPr>
                          <m:t>D</m:t>
                        </m:r>
                      </m:e>
                      <m:sub>
                        <m:r>
                          <m:rPr>
                            <m:sty m:val="i"/>
                          </m:rPr>
                          <m:t>y</m:t>
                        </m:r>
                      </m:sub>
                    </m:sSub>
                    <m:r>
                      <m:rPr>
                        <m:sty m:val="p"/>
                      </m:rPr>
                      <m:t>=</m:t>
                    </m:r>
                    <m:sSub>
                      <m:sSubPr/>
                      <m:e>
                        <m:r>
                          <m:rPr>
                            <m:sty m:val="i"/>
                          </m:rPr>
                          <m:t>ϵ</m:t>
                        </m:r>
                      </m:e>
                      <m:sub>
                        <m:r>
                          <m:rPr>
                            <m:sty m:val="p"/>
                          </m:rPr>
                          <m:t>0</m:t>
                        </m:r>
                      </m:sub>
                    </m:sSub>
                    <m:sSub>
                      <m:sSubPr/>
                      <m:e>
                        <m:r>
                          <m:rPr>
                            <m:sty m:val="i"/>
                          </m:rPr>
                          <m:t>ϵ</m:t>
                        </m:r>
                      </m:e>
                      <m:sub>
                        <m:r>
                          <m:rPr>
                            <m:sty m:val="p"/>
                          </m:rPr>
                          <m:t>⊥</m:t>
                        </m:r>
                      </m:sub>
                    </m:sSub>
                    <m:sSub>
                      <m:sSubPr/>
                      <m:e>
                        <m:r>
                          <m:rPr>
                            <m:sty m:val="i"/>
                          </m:rPr>
                          <m:t>E</m:t>
                        </m:r>
                      </m:e>
                      <m:sub>
                        <m:r>
                          <m:rPr>
                            <m:sty m:val="i"/>
                          </m:rPr>
                          <m:t>y</m:t>
                        </m:r>
                      </m:sub>
                    </m:sSub>
                  </m:e>
                </m:mr>
                <m:mr>
                  <m:e>
                    <m:sSub>
                      <m:sSubPr/>
                      <m:e>
                        <m:r>
                          <m:rPr>
                            <m:sty m:val="i"/>
                          </m:rPr>
                          <m:t>D</m:t>
                        </m:r>
                      </m:e>
                      <m:sub>
                        <m:r>
                          <m:rPr>
                            <m:sty m:val="i"/>
                          </m:rPr>
                          <m:t>z</m:t>
                        </m:r>
                      </m:sub>
                    </m:sSub>
                    <m:r>
                      <m:rPr>
                        <m:sty m:val="p"/>
                      </m:rPr>
                      <m:t>=</m:t>
                    </m:r>
                    <m:sSub>
                      <m:sSubPr/>
                      <m:e>
                        <m:r>
                          <m:rPr>
                            <m:sty m:val="i"/>
                          </m:rPr>
                          <m:t>ϵ</m:t>
                        </m:r>
                      </m:e>
                      <m:sub>
                        <m:r>
                          <m:rPr>
                            <m:sty m:val="p"/>
                          </m:rPr>
                          <m:t>0</m:t>
                        </m:r>
                      </m:sub>
                    </m:sSub>
                    <m:sSub>
                      <m:sSubPr/>
                      <m:e>
                        <m:r>
                          <m:rPr>
                            <m:sty m:val="i"/>
                          </m:rPr>
                          <m:t>ϵ</m:t>
                        </m:r>
                      </m:e>
                      <m:sub>
                        <m:r>
                          <m:rPr>
                            <m:sty m:val="p"/>
                          </m:rPr>
                          <m:t>⊥</m:t>
                        </m:r>
                      </m:sub>
                    </m:sSub>
                    <m:sSub>
                      <m:sSubPr/>
                      <m:e>
                        <m:r>
                          <m:rPr>
                            <m:sty m:val="i"/>
                          </m:rPr>
                          <m:t>E</m:t>
                        </m:r>
                      </m:e>
                      <m:sub>
                        <m:r>
                          <m:rPr>
                            <m:sty m:val="i"/>
                          </m:rPr>
                          <m:t>z</m:t>
                        </m:r>
                      </m:sub>
                    </m:sSub>
                  </m:e>
                </m:mr>
              </m:m>
            </m:e>
          </m:d>
        </m:oMath>
      </m:oMathPara>
    </w:p>
    <w:p>
      <w:pPr>
        <w:spacing w:after="220" w:lineRule="auto"/>
      </w:pPr>
      <w:r>
        <w:rPr>
          <w:rFonts w:eastAsia="Georgia" w:cs="Georgia" w:ascii="Georgia" w:hAnsi="Georgia"/>
        </w:rPr>
        <w:t xml:space="preserve">où </w:t>
      </w:r>
      <m:oMath>
        <m:sSub>
          <m:sSubPr/>
          <m:e>
            <m:r>
              <m:rPr>
                <m:sty m:val="i"/>
              </m:rPr>
              <m:t>ϵ</m:t>
            </m:r>
          </m:e>
          <m:sub>
            <m:r>
              <m:rPr>
                <m:sty m:val="p"/>
              </m:rPr>
              <m:t>⊥</m:t>
            </m:r>
          </m:sub>
        </m:sSub>
      </m:oMath>
      <w:r>
        <w:rPr/>
        <w:t xml:space="preserve"> et </w:t>
      </w:r>
      <m:oMath>
        <m:sSub>
          <m:sSubPr/>
          <m:e>
            <m:r>
              <m:rPr>
                <m:sty m:val="i"/>
              </m:rPr>
              <m:t>ϵ</m:t>
            </m:r>
          </m:e>
          <m:sub>
            <m:r>
              <m:rPr>
                <m:sty m:val="p"/>
              </m:rPr>
              <m:t>‖</m:t>
            </m:r>
          </m:sub>
        </m:sSub>
      </m:oMath>
      <w:r>
        <w:rPr>
          <w:rFonts w:eastAsia="Georgia" w:cs="Georgia" w:ascii="Georgia" w:hAnsi="Georgia"/>
        </w:rPr>
        <w:t xml:space="preserve">sont des constantes que l'on exprimera. Vérifier que </w:t>
      </w:r>
      <m:oMath>
        <m:sSub>
          <m:sSubPr/>
          <m:e>
            <m:r>
              <m:rPr>
                <m:sty m:val="i"/>
              </m:rPr>
              <m:t>ϵ</m:t>
            </m:r>
          </m:e>
          <m:sub>
            <m:r>
              <m:rPr>
                <m:sty m:val="p"/>
              </m:rPr>
              <m:t>‖</m:t>
            </m:r>
          </m:sub>
        </m:sSub>
        <m:r>
          <m:rPr>
            <m:sty m:val="p"/>
          </m:rPr>
          <m:t>≥</m:t>
        </m:r>
        <m:sSub>
          <m:sSubPr/>
          <m:e>
            <m:r>
              <m:rPr>
                <m:sty m:val="i"/>
              </m:rPr>
              <m:t>ϵ</m:t>
            </m:r>
          </m:e>
          <m:sub>
            <m:r>
              <m:rPr>
                <m:sty m:val="p"/>
              </m:rPr>
              <m:t>⊥</m:t>
            </m:r>
          </m:sub>
        </m:sSub>
      </m:oMath>
      <w:r>
        <w:rPr/>
        <w:t xml:space="preserve">.</w:t>
      </w:r>
      <w:r>
        <w:rPr/>
        <w:br w:type="textWrapping"/>
      </w:r>
      <w:r>
        <w:rPr/>
        <w:t xml:space="preserve">N.B. : Dans la suite, on conservera les notations </w:t>
      </w:r>
      <m:oMath>
        <m:sSub>
          <m:sSubPr/>
          <m:e>
            <m:r>
              <m:rPr>
                <m:sty m:val="i"/>
              </m:rPr>
              <m:t>ϵ</m:t>
            </m:r>
          </m:e>
          <m:sub>
            <m:r>
              <m:rPr>
                <m:sty m:val="p"/>
              </m:rPr>
              <m:t>‖</m:t>
            </m:r>
          </m:sub>
        </m:sSub>
      </m:oMath>
      <w:r>
        <w:rPr/>
        <w:t xml:space="preserve">et </w:t>
      </w:r>
      <m:oMath>
        <m:sSub>
          <m:sSubPr/>
          <m:e>
            <m:r>
              <m:rPr>
                <m:sty m:val="i"/>
              </m:rPr>
              <m:t>ϵ</m:t>
            </m:r>
          </m:e>
          <m:sub>
            <m:r>
              <m:rPr>
                <m:sty m:val="p"/>
              </m:rPr>
              <m:t>⊥</m:t>
            </m:r>
          </m:sub>
        </m:sSub>
      </m:oMath>
      <w:r>
        <w:rPr/>
        <w:t xml:space="preserve"> (notamment sans remplacer ce dernier par sa valeur).</w:t>
      </w:r>
      <w:r>
        <w:rPr/>
        <w:br w:type="textWrapping"/>
      </w:r>
      <w:r>
        <w:rPr>
          <w:rFonts w:eastAsia="Georgia" w:cs="Georgia" w:ascii="Georgia" w:hAnsi="Georgia"/>
        </w:rPr>
        <w:t xml:space="preserve">10. Établir la relation de dispersion d'une onde polarisée rectilignement selon la direction </w:t>
      </w:r>
      <m:oMath>
        <m:r>
          <m:rPr>
            <m:sty m:val="p"/>
          </m:rPr>
          <m:t>(</m:t>
        </m:r>
        <m:r>
          <m:rPr>
            <m:sty m:val="i"/>
          </m:rPr>
          <m:t>O</m:t>
        </m:r>
        <m:r>
          <m:rPr>
            <m:sty m:val="i"/>
          </m:rPr>
          <m:t>z</m:t>
        </m:r>
        <m:r>
          <m:rPr>
            <m:sty m:val="p"/>
          </m:rPr>
          <m:t>)</m:t>
        </m:r>
      </m:oMath>
      <w:r>
        <w:rPr/>
        <w:t xml:space="preserve"> : </w:t>
      </w:r>
      <m:oMath>
        <m:acc>
          <m:accPr>
            <m:chr m:val="⃗"/>
          </m:accPr>
          <m:e>
            <m:r>
              <m:rPr>
                <m:sty m:val="i"/>
              </m:rPr>
              <m:t>D</m:t>
            </m:r>
          </m:e>
        </m:acc>
        <m:r>
          <m:rPr>
            <m:sty m:val="p"/>
          </m:rPr>
          <m:t>=</m:t>
        </m:r>
        <m:r>
          <m:rPr>
            <m:sty m:val="i"/>
          </m:rPr>
          <m:t>D</m:t>
        </m:r>
        <m:r>
          <m:rPr>
            <m:sty m:val="p"/>
          </m:rPr>
          <m:t>(</m:t>
        </m:r>
        <m:acc>
          <m:accPr>
            <m:chr m:val="⃗"/>
          </m:accPr>
          <m:e>
            <m:r>
              <m:rPr>
                <m:sty m:val="i"/>
              </m:rPr>
              <m:t>r</m:t>
            </m:r>
          </m:e>
        </m:acc>
        <m:r>
          <m:rPr>
            <m:sty m:val="p"/>
          </m:rPr>
          <m:t>,</m:t>
        </m:r>
        <m:r>
          <m:rPr>
            <m:sty m:val="i"/>
          </m:rPr>
          <m:t>t</m:t>
        </m:r>
        <m:r>
          <m:rPr>
            <m:sty m:val="p"/>
          </m:rPr>
          <m:t>)</m:t>
        </m:r>
        <m:sSub>
          <m:sSubPr/>
          <m:e>
            <m:acc>
              <m:accPr>
                <m:chr m:val="⃗"/>
              </m:accPr>
              <m:e>
                <m:r>
                  <m:rPr>
                    <m:sty m:val="i"/>
                  </m:rPr>
                  <m:t>e</m:t>
                </m:r>
              </m:e>
            </m:acc>
          </m:e>
          <m:sub>
            <m:r>
              <m:rPr>
                <m:sty m:val="i"/>
              </m:rPr>
              <m:t>z</m:t>
            </m:r>
          </m:sub>
        </m:sSub>
      </m:oMath>
      <w:r>
        <w:rPr/>
        <w:t xml:space="preserve">.</w:t>
      </w:r>
      <w:r>
        <w:rPr/>
        <w:br w:type="textWrapping"/>
      </w:r>
      <w:r>
        <w:rPr>
          <w:rFonts w:eastAsia="Georgia" w:cs="Georgia" w:ascii="Georgia" w:hAnsi="Georgia"/>
        </w:rPr>
        <w:t xml:space="preserve">11. En déduire l'expression de l'indice optique du milieu, noté </w:t>
      </w:r>
      <m:oMath>
        <m:sSub>
          <m:sSubPr/>
          <m:e>
            <m:r>
              <m:rPr>
                <m:sty m:val="i"/>
              </m:rPr>
              <m:t>n</m:t>
            </m:r>
          </m:e>
          <m:sub>
            <m:r>
              <m:rPr>
                <m:sty m:val="i"/>
              </m:rPr>
              <m:t>o</m:t>
            </m:r>
          </m:sub>
        </m:sSub>
      </m:oMath>
      <w:r>
        <w:rPr/>
        <w:t xml:space="preserve">, pour cette polarisation.</w:t>
      </w:r>
      <w:r>
        <w:rPr/>
        <w:br w:type="textWrapping"/>
      </w:r>
      <w:r>
        <w:rPr/>
        <w:t xml:space="preserve">N.B. : Dans la suite, on conservera la notation </w:t>
      </w:r>
      <m:oMath>
        <m:sSub>
          <m:sSubPr/>
          <m:e>
            <m:r>
              <m:rPr>
                <m:sty m:val="i"/>
              </m:rPr>
              <m:t>n</m:t>
            </m:r>
          </m:e>
          <m:sub>
            <m:r>
              <m:rPr>
                <m:sty m:val="i"/>
              </m:rPr>
              <m:t>o</m:t>
            </m:r>
          </m:sub>
        </m:sSub>
      </m:oMath>
      <w:r>
        <w:rPr/>
        <w:t xml:space="preserve"> sans la remplacer par sa valeur.</w:t>
      </w:r>
      <w:r>
        <w:rPr/>
        <w:br w:type="textWrapping"/>
      </w:r>
      <w:r>
        <w:rPr>
          <w:rFonts w:eastAsia="Georgia" w:cs="Georgia" w:ascii="Georgia" w:hAnsi="Georgia"/>
        </w:rPr>
        <w:t xml:space="preserve">12. Nous considérons désormais (jusqu'à la partie (III)) une onde polarisée perpendiculairement à la direction </w:t>
      </w:r>
      <m:oMath>
        <m:r>
          <m:rPr>
            <m:sty m:val="p"/>
          </m:rPr>
          <m:t>(</m:t>
        </m:r>
        <m:r>
          <m:rPr>
            <m:sty m:val="i"/>
          </m:rPr>
          <m:t>O</m:t>
        </m:r>
        <m:r>
          <m:rPr>
            <m:sty m:val="i"/>
          </m:rPr>
          <m:t>z</m:t>
        </m:r>
        <m:r>
          <m:rPr>
            <m:sty m:val="p"/>
          </m:rPr>
          <m:t>)</m:t>
        </m:r>
      </m:oMath>
      <w:r>
        <w:rPr/>
        <w:t xml:space="preserve">, soit </w:t>
      </w:r>
      <m:oMath>
        <m:acc>
          <m:accPr>
            <m:chr m:val="⃗"/>
          </m:accPr>
          <m:e>
            <m:r>
              <m:rPr>
                <m:sty m:val="i"/>
              </m:rPr>
              <m:t>D</m:t>
            </m:r>
          </m:e>
        </m:acc>
        <m:r>
          <m:rPr>
            <m:sty m:val="p"/>
          </m:rPr>
          <m:t>∈</m:t>
        </m:r>
        <m:r>
          <m:rPr>
            <m:sty m:val="p"/>
          </m:rPr>
          <m:t>(</m:t>
        </m:r>
        <m:r>
          <m:rPr>
            <m:sty m:val="i"/>
          </m:rPr>
          <m:t>O</m:t>
        </m:r>
        <m:r>
          <m:rPr>
            <m:sty m:val="i"/>
          </m:rPr>
          <m:t>x</m:t>
        </m:r>
        <m:r>
          <m:rPr>
            <m:sty m:val="i"/>
          </m:rPr>
          <m:t>y</m:t>
        </m:r>
        <m:r>
          <m:rPr>
            <m:sty m:val="p"/>
          </m:rPr>
          <m:t>)</m:t>
        </m:r>
      </m:oMath>
      <w:r>
        <w:rPr/>
        <w:t xml:space="preserve">, et de direction </w:t>
      </w:r>
      <m:oMath>
        <m:acc>
          <m:accPr>
            <m:chr m:val="⃗"/>
          </m:accPr>
          <m:e>
            <m:r>
              <m:rPr>
                <m:sty m:val="i"/>
              </m:rPr>
              <m:t>k</m:t>
            </m:r>
          </m:e>
        </m:acc>
        <m:r>
          <m:rPr>
            <m:sty m:val="p"/>
          </m:rPr>
          <m:t>=</m:t>
        </m:r>
        <m:r>
          <m:rPr>
            <m:sty m:val="i"/>
          </m:rPr>
          <m:t>k</m:t>
        </m:r>
        <m:acc>
          <m:accPr>
            <m:chr m:val="⃗"/>
          </m:accPr>
          <m:e>
            <m:r>
              <m:rPr>
                <m:sty m:val="i"/>
              </m:rPr>
              <m:t>u</m:t>
            </m:r>
          </m:e>
        </m:acc>
        <m:r>
          <m:rPr>
            <m:sty m:val="p"/>
          </m:rPr>
          <m:t>(</m:t>
        </m:r>
        <m:r>
          <m:rPr>
            <m:sty m:val="i"/>
          </m:rPr>
          <m:t>φ</m:t>
        </m:r>
        <m:r>
          <m:rPr>
            <m:sty m:val="p"/>
          </m:rPr>
          <m:t>)</m:t>
        </m:r>
      </m:oMath>
      <w:r>
        <w:rPr/>
        <w:t xml:space="preserve">.</w:t>
      </w:r>
      <w:r>
        <w:rPr/>
        <w:br w:type="textWrapping"/>
      </w:r>
      <w:r>
        <w:rPr/>
        <w:t xml:space="preserve">Montrer que </w:t>
      </w:r>
      <m:oMath>
        <m:acc>
          <m:accPr>
            <m:chr m:val="⃗"/>
          </m:accPr>
          <m:e>
            <m:r>
              <m:rPr>
                <m:sty m:val="i"/>
              </m:rPr>
              <m:t>E</m:t>
            </m:r>
          </m:e>
        </m:acc>
        <m:r>
          <m:rPr>
            <m:sty m:val="p"/>
          </m:rPr>
          <m:t>⋅</m:t>
        </m:r>
        <m:acc>
          <m:accPr>
            <m:chr m:val="⃗"/>
          </m:accPr>
          <m:e>
            <m:r>
              <m:rPr>
                <m:sty m:val="i"/>
              </m:rPr>
              <m:t>k</m:t>
            </m:r>
          </m:e>
        </m:acc>
        <m:r>
          <m:rPr>
            <m:sty m:val="p"/>
          </m:rPr>
          <m:t>≠</m:t>
        </m:r>
        <m:r>
          <m:rPr>
            <m:sty m:val="p"/>
          </m:rPr>
          <m:t>0</m:t>
        </m:r>
      </m:oMath>
      <w:r>
        <w:rPr>
          <w:rFonts w:eastAsia="Georgia" w:cs="Georgia" w:ascii="Georgia" w:hAnsi="Georgia"/>
        </w:rPr>
        <w:t xml:space="preserve">. Commenter ce résultat en apparente contradiction avec l'orientation classique du champ électrique.</w:t>
      </w:r>
      <w:r>
        <w:rPr/>
        <w:br w:type="textWrapping"/>
      </w:r>
      <w:r>
        <w:rPr>
          <w:rFonts w:eastAsia="Georgia" w:cs="Georgia" w:ascii="Georgia" w:hAnsi="Georgia"/>
        </w:rPr>
        <w:t xml:space="preserve">13. Montrer que les composantes du champ électrique satisfont au système linéaire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a</m:t>
                    </m:r>
                    <m:sSub>
                      <m:sSubPr/>
                      <m:e>
                        <m:r>
                          <m:rPr>
                            <m:sty m:val="i"/>
                          </m:rPr>
                          <m:t>E</m:t>
                        </m:r>
                      </m:e>
                      <m:sub>
                        <m:r>
                          <m:rPr>
                            <m:sty m:val="i"/>
                          </m:rPr>
                          <m:t>x</m:t>
                        </m:r>
                      </m:sub>
                    </m:sSub>
                    <m:r>
                      <m:rPr>
                        <m:sty m:val="p"/>
                      </m:rPr>
                      <m:t>+</m:t>
                    </m:r>
                    <m:r>
                      <m:rPr>
                        <m:sty m:val="i"/>
                      </m:rPr>
                      <m:t>b</m:t>
                    </m:r>
                    <m:sSub>
                      <m:sSubPr/>
                      <m:e>
                        <m:r>
                          <m:rPr>
                            <m:sty m:val="i"/>
                          </m:rPr>
                          <m:t>E</m:t>
                        </m:r>
                      </m:e>
                      <m:sub>
                        <m:r>
                          <m:rPr>
                            <m:sty m:val="i"/>
                          </m:rPr>
                          <m:t>y</m:t>
                        </m:r>
                      </m:sub>
                    </m:sSub>
                    <m:r>
                      <m:rPr>
                        <m:sty m:val="p"/>
                      </m:rPr>
                      <m:t>=</m:t>
                    </m:r>
                    <m:r>
                      <m:rPr>
                        <m:sty m:val="p"/>
                      </m:rPr>
                      <m:t>0</m:t>
                    </m:r>
                  </m:e>
                </m:mr>
                <m:mr>
                  <m:e>
                    <m:r>
                      <m:rPr>
                        <m:sty m:val="i"/>
                      </m:rPr>
                      <m:t>c</m:t>
                    </m:r>
                    <m:sSub>
                      <m:sSubPr/>
                      <m:e>
                        <m:r>
                          <m:rPr>
                            <m:sty m:val="i"/>
                          </m:rPr>
                          <m:t>E</m:t>
                        </m:r>
                      </m:e>
                      <m:sub>
                        <m:r>
                          <m:rPr>
                            <m:sty m:val="i"/>
                          </m:rPr>
                          <m:t>x</m:t>
                        </m:r>
                      </m:sub>
                    </m:sSub>
                    <m:r>
                      <m:rPr>
                        <m:sty m:val="p"/>
                      </m:rPr>
                      <m:t>+</m:t>
                    </m:r>
                    <m:r>
                      <m:rPr>
                        <m:sty m:val="i"/>
                      </m:rPr>
                      <m:t>d</m:t>
                    </m:r>
                    <m:sSub>
                      <m:sSubPr/>
                      <m:e>
                        <m:r>
                          <m:rPr>
                            <m:sty m:val="i"/>
                          </m:rPr>
                          <m:t>E</m:t>
                        </m:r>
                      </m:e>
                      <m:sub>
                        <m:r>
                          <m:rPr>
                            <m:sty m:val="i"/>
                          </m:rPr>
                          <m:t>y</m:t>
                        </m:r>
                      </m:sub>
                    </m:sSub>
                    <m:r>
                      <m:rPr>
                        <m:sty m:val="p"/>
                      </m:rPr>
                      <m:t>=</m:t>
                    </m:r>
                    <m:r>
                      <m:rPr>
                        <m:sty m:val="p"/>
                      </m:rPr>
                      <m:t>0</m:t>
                    </m:r>
                  </m:e>
                </m:mr>
              </m:m>
            </m:e>
          </m:d>
        </m:oMath>
      </m:oMathPara>
    </w:p>
    <w:p>
      <w:pPr>
        <w:spacing w:after="220" w:lineRule="auto"/>
      </w:pPr>
      <w:r>
        <w:rPr>
          <w:rFonts w:eastAsia="Georgia" w:cs="Georgia" w:ascii="Georgia" w:hAnsi="Georgia"/>
        </w:rPr>
        <w:t xml:space="preserve">où </w:t>
      </w:r>
      <m:oMath>
        <m:r>
          <m:rPr>
            <m:sty m:val="i"/>
          </m:rPr>
          <m:t>a</m:t>
        </m:r>
        <m:r>
          <m:rPr>
            <m:sty m:val="p"/>
          </m:rPr>
          <m:t>,</m:t>
        </m:r>
        <m:r>
          <m:rPr>
            <m:sty m:val="i"/>
          </m:rPr>
          <m:t>b</m:t>
        </m:r>
        <m:r>
          <m:rPr>
            <m:sty m:val="p"/>
          </m:rPr>
          <m:t>,</m:t>
        </m:r>
        <m:r>
          <m:rPr>
            <m:sty m:val="i"/>
          </m:rPr>
          <m:t>c</m:t>
        </m:r>
      </m:oMath>
      <w:r>
        <w:rPr/>
        <w:t xml:space="preserve"> et </w:t>
      </w:r>
      <m:oMath>
        <m:r>
          <m:rPr>
            <m:sty m:val="i"/>
          </m:rPr>
          <m:t>d</m:t>
        </m:r>
      </m:oMath>
      <w:r>
        <w:rPr/>
        <w:t xml:space="preserve"> sont des coefficients que l'on exprimera.</w:t>
      </w:r>
      <w:r>
        <w:rPr/>
        <w:br w:type="textWrapping"/>
      </w:r>
      <w:r>
        <w:rPr/>
        <w:t xml:space="preserve">14. Sachant que </w:t>
      </w:r>
      <m:oMath>
        <m:d>
          <m:dPr>
            <m:begChr m:val="("/>
            <m:endChr m:val=")"/>
            <m:ctrlPr>
              <w:rPr>
                <w:rFonts w:ascii="Cambria Math" w:hAnsi="Cambria Math"/>
              </w:rPr>
            </m:ctrlPr>
          </m:dPr>
          <m:e>
            <m:sSub>
              <m:sSubPr/>
              <m:e>
                <m:r>
                  <m:rPr>
                    <m:sty m:val="i"/>
                  </m:rPr>
                  <m:t>E</m:t>
                </m:r>
              </m:e>
              <m:sub>
                <m:r>
                  <m:rPr>
                    <m:sty m:val="i"/>
                  </m:rPr>
                  <m:t>x</m:t>
                </m:r>
              </m:sub>
            </m:sSub>
            <m:r>
              <m:rPr>
                <m:sty m:val="p"/>
              </m:rPr>
              <m:t>,</m:t>
            </m:r>
            <m:sSub>
              <m:sSubPr/>
              <m:e>
                <m:r>
                  <m:rPr>
                    <m:sty m:val="i"/>
                  </m:rPr>
                  <m:t>E</m:t>
                </m:r>
              </m:e>
              <m:sub>
                <m:r>
                  <m:rPr>
                    <m:sty m:val="i"/>
                  </m:rPr>
                  <m:t>y</m:t>
                </m:r>
              </m:sub>
            </m:sSub>
          </m:e>
        </m:d>
        <m:r>
          <m:rPr>
            <m:sty m:val="p"/>
          </m:rPr>
          <m:t>≠</m:t>
        </m:r>
        <m:r>
          <m:rPr>
            <m:sty m:val="p"/>
          </m:rPr>
          <m:t>(</m:t>
        </m:r>
        <m:r>
          <m:rPr>
            <m:sty m:val="p"/>
          </m:rPr>
          <m:t>0</m:t>
        </m:r>
        <m:r>
          <m:rPr>
            <m:sty m:val="p"/>
          </m:rPr>
          <m:t>,</m:t>
        </m:r>
        <m:r>
          <m:rPr>
            <m:sty m:val="p"/>
          </m:rPr>
          <m:t>0</m:t>
        </m:r>
        <m:r>
          <m:rPr>
            <m:sty m:val="p"/>
          </m:rPr>
          <m:t>)</m:t>
        </m:r>
      </m:oMath>
      <w:r>
        <w:rPr>
          <w:rFonts w:eastAsia="Georgia" w:cs="Georgia" w:ascii="Georgia" w:hAnsi="Georgia"/>
        </w:rPr>
        <w:t xml:space="preserve">, déduire l'expression de la vitesse de phase d'une onde polarisée dans le plan (Oxy) et de direction </w:t>
      </w:r>
      <m:oMath>
        <m:acc>
          <m:accPr>
            <m:chr m:val="⃗"/>
          </m:accPr>
          <m:e>
            <m:r>
              <m:rPr>
                <m:sty m:val="i"/>
              </m:rPr>
              <m:t>k</m:t>
            </m:r>
          </m:e>
        </m:acc>
        <m:r>
          <m:rPr>
            <m:sty m:val="p"/>
          </m:rPr>
          <m:t>=</m:t>
        </m:r>
        <m:r>
          <m:rPr>
            <m:sty m:val="i"/>
          </m:rPr>
          <m:t>k</m:t>
        </m:r>
        <m:acc>
          <m:accPr>
            <m:chr m:val="⃗"/>
          </m:accPr>
          <m:e>
            <m:r>
              <m:rPr>
                <m:sty m:val="i"/>
              </m:rPr>
              <m:t>u</m:t>
            </m:r>
          </m:e>
        </m:acc>
        <m:r>
          <m:rPr>
            <m:sty m:val="p"/>
          </m:rPr>
          <m:t>(</m:t>
        </m:r>
        <m:r>
          <m:rPr>
            <m:sty m:val="i"/>
          </m:rPr>
          <m:t>φ</m:t>
        </m:r>
        <m:r>
          <m:rPr>
            <m:sty m:val="p"/>
          </m:rPr>
          <m:t>)</m:t>
        </m:r>
      </m:oMath>
      <w:r>
        <w:rPr/>
        <w:t xml:space="preserve">.</w:t>
      </w:r>
      <w:r>
        <w:rPr/>
        <w:br w:type="textWrapping"/>
      </w:r>
      <w:r>
        <w:rPr>
          <w:rFonts w:eastAsia="Georgia" w:cs="Georgia" w:ascii="Georgia" w:hAnsi="Georgia"/>
        </w:rPr>
        <w:t xml:space="preserve">15. Définir, pour cette vitesse, l'indice optique effectif </w:t>
      </w:r>
      <m:oMath>
        <m:sSub>
          <m:sSubPr/>
          <m:e>
            <m:r>
              <m:rPr>
                <m:sty m:val="i"/>
              </m:rPr>
              <m:t>n</m:t>
            </m:r>
          </m:e>
          <m:sub>
            <m:r>
              <m:rPr>
                <m:sty m:val="i"/>
              </m:rPr>
              <m:t>e</m:t>
            </m:r>
            <m:r>
              <m:rPr>
                <m:sty m:val="i"/>
              </m:rPr>
              <m:t>f</m:t>
            </m:r>
            <m:r>
              <m:rPr>
                <m:sty m:val="i"/>
              </m:rPr>
              <m:t>f</m:t>
            </m:r>
          </m:sub>
        </m:sSub>
        <m:r>
          <m:rPr>
            <m:sty m:val="p"/>
          </m:rPr>
          <m:t>=</m:t>
        </m:r>
        <m:sSub>
          <m:sSubPr/>
          <m:e>
            <m:r>
              <m:rPr>
                <m:sty m:val="i"/>
              </m:rPr>
              <m:t>n</m:t>
            </m:r>
          </m:e>
          <m:sub>
            <m:r>
              <m:rPr>
                <m:sty m:val="i"/>
              </m:rPr>
              <m:t>e</m:t>
            </m:r>
            <m:r>
              <m:rPr>
                <m:sty m:val="i"/>
              </m:rPr>
              <m:t>f</m:t>
            </m:r>
            <m:r>
              <m:rPr>
                <m:sty m:val="i"/>
              </m:rPr>
              <m:t>f</m:t>
            </m:r>
          </m:sub>
        </m:sSub>
        <m:r>
          <m:rPr>
            <m:sty m:val="p"/>
          </m:rPr>
          <m:t>(</m:t>
        </m:r>
        <m:r>
          <m:rPr>
            <m:sty m:val="i"/>
          </m:rPr>
          <m:t>φ</m:t>
        </m:r>
        <m:r>
          <m:rPr>
            <m:sty m:val="p"/>
          </m:rPr>
          <m:t>)</m:t>
        </m:r>
      </m:oMath>
      <w:r>
        <w:rPr>
          <w:rFonts w:eastAsia="Georgia" w:cs="Georgia" w:ascii="Georgia" w:hAnsi="Georgia"/>
        </w:rPr>
        <w:t xml:space="preserve">. Établir que :</w:t>
      </w:r>
    </w:p>
    <w:p>
      <w:pPr>
        <w:spacing w:after="220" w:lineRule="auto"/>
      </w:pPr>
      <m:oMathPara>
        <m:oMath>
          <m:f>
            <m:fPr>
              <m:ctrlPr>
                <w:rPr>
                  <w:rFonts w:ascii="Cambria Math" w:hAnsi="Cambria Math"/>
                </w:rPr>
              </m:ctrlPr>
            </m:fPr>
            <m:num>
              <m:r>
                <m:rPr>
                  <m:sty m:val="p"/>
                </m:rPr>
                <m:t>1</m:t>
              </m:r>
            </m:num>
            <m:den>
              <m:sSubSup>
                <m:sSubSupPr/>
                <m:e>
                  <m:r>
                    <m:rPr>
                      <m:sty m:val="i"/>
                    </m:rPr>
                    <m:t>n</m:t>
                  </m:r>
                </m:e>
                <m:sub>
                  <m:r>
                    <m:rPr>
                      <m:sty m:val="i"/>
                    </m:rPr>
                    <m:t>e</m:t>
                  </m:r>
                  <m:r>
                    <m:rPr>
                      <m:sty m:val="i"/>
                    </m:rPr>
                    <m:t>f</m:t>
                  </m:r>
                  <m:r>
                    <m:rPr>
                      <m:sty m:val="i"/>
                    </m:rPr>
                    <m:t>f</m:t>
                  </m:r>
                </m:sub>
                <m:sup>
                  <m:r>
                    <m:rPr>
                      <m:sty m:val="p"/>
                    </m:rPr>
                    <m:t>2</m:t>
                  </m:r>
                </m:sup>
              </m:sSubSup>
            </m:den>
          </m:f>
          <m:r>
            <m:rPr>
              <m:sty m:val="p"/>
            </m:rPr>
            <m:t>=</m:t>
          </m:r>
          <m:f>
            <m:fPr>
              <m:ctrlPr>
                <w:rPr>
                  <w:rFonts w:ascii="Cambria Math" w:hAnsi="Cambria Math"/>
                </w:rPr>
              </m:ctrlPr>
            </m:fPr>
            <m:num>
              <m:sSup>
                <m:sSupPr/>
                <m:e>
                  <m:r>
                    <m:rPr>
                      <m:sty m:val="p"/>
                    </m:rPr>
                    <m:t>cos</m:t>
                  </m:r>
                </m:e>
                <m:sup>
                  <m:r>
                    <m:rPr>
                      <m:sty m:val="p"/>
                    </m:rPr>
                    <m:t>2</m:t>
                  </m:r>
                </m:sup>
              </m:sSup>
              <m:r>
                <m:rPr>
                  <m:sty m:val="p"/>
                </m:rPr>
                <m:t>⁡</m:t>
              </m:r>
              <m:r>
                <m:rPr>
                  <m:sty m:val="i"/>
                </m:rPr>
                <m:t>φ</m:t>
              </m:r>
            </m:num>
            <m:den>
              <m:sSubSup>
                <m:sSubSupPr/>
                <m:e>
                  <m:r>
                    <m:rPr>
                      <m:sty m:val="i"/>
                    </m:rPr>
                    <m:t>n</m:t>
                  </m:r>
                </m:e>
                <m:sub>
                  <m:r>
                    <m:rPr>
                      <m:sty m:val="i"/>
                    </m:rPr>
                    <m:t>o</m:t>
                  </m:r>
                </m:sub>
                <m:sup>
                  <m:r>
                    <m:rPr>
                      <m:sty m:val="p"/>
                    </m:rPr>
                    <m:t>2</m:t>
                  </m:r>
                </m:sup>
              </m:sSubSup>
            </m:den>
          </m:f>
          <m:r>
            <m:rPr>
              <m:sty m:val="p"/>
            </m:rPr>
            <m:t>+</m:t>
          </m:r>
          <m:f>
            <m:fPr>
              <m:ctrlPr>
                <w:rPr>
                  <w:rFonts w:ascii="Cambria Math" w:hAnsi="Cambria Math"/>
                </w:rPr>
              </m:ctrlPr>
            </m:fPr>
            <m:num>
              <m:sSup>
                <m:sSupPr/>
                <m:e>
                  <m:r>
                    <m:rPr>
                      <m:sty m:val="p"/>
                    </m:rPr>
                    <m:t>sin</m:t>
                  </m:r>
                </m:e>
                <m:sup>
                  <m:r>
                    <m:rPr>
                      <m:sty m:val="p"/>
                    </m:rPr>
                    <m:t>2</m:t>
                  </m:r>
                </m:sup>
              </m:sSup>
              <m:r>
                <m:rPr>
                  <m:sty m:val="p"/>
                </m:rPr>
                <m:t>⁡</m:t>
              </m:r>
              <m:r>
                <m:rPr>
                  <m:sty m:val="i"/>
                </m:rPr>
                <m:t>φ</m:t>
              </m:r>
            </m:num>
            <m:den>
              <m:sSubSup>
                <m:sSubSupPr/>
                <m:e>
                  <m:r>
                    <m:rPr>
                      <m:sty m:val="i"/>
                    </m:rPr>
                    <m:t>n</m:t>
                  </m:r>
                </m:e>
                <m:sub>
                  <m:r>
                    <m:rPr>
                      <m:sty m:val="i"/>
                    </m:rPr>
                    <m:t>e</m:t>
                  </m:r>
                </m:sub>
                <m:sup>
                  <m:r>
                    <m:rPr>
                      <m:sty m:val="p"/>
                    </m:rPr>
                    <m:t>2</m:t>
                  </m:r>
                </m:sup>
              </m:sSubSup>
            </m:den>
          </m:f>
          <m:r>
            <m:rPr>
              <m:sty m:val="p"/>
            </m:rPr>
            <m:t>,</m:t>
          </m:r>
        </m:oMath>
      </m:oMathPara>
    </w:p>
    <w:p>
      <w:pPr>
        <w:spacing w:after="220" w:lineRule="auto"/>
      </w:pPr>
      <w:r>
        <w:rPr>
          <w:rFonts w:eastAsia="Georgia" w:cs="Georgia" w:ascii="Georgia" w:hAnsi="Georgia"/>
        </w:rPr>
        <w:t xml:space="preserve">où </w:t>
      </w:r>
      <m:oMath>
        <m:sSub>
          <m:sSubPr/>
          <m:e>
            <m:r>
              <m:rPr>
                <m:sty m:val="i"/>
              </m:rPr>
              <m:t>n</m:t>
            </m:r>
          </m:e>
          <m:sub>
            <m:r>
              <m:rPr>
                <m:sty m:val="i"/>
              </m:rPr>
              <m:t>o</m:t>
            </m:r>
          </m:sub>
        </m:sSub>
      </m:oMath>
      <w:r>
        <w:rPr>
          <w:rFonts w:eastAsia="Georgia" w:cs="Georgia" w:ascii="Georgia" w:hAnsi="Georgia"/>
        </w:rPr>
        <w:t xml:space="preserve"> est la constante définie à la question (11) et </w:t>
      </w:r>
      <m:oMath>
        <m:sSub>
          <m:sSubPr/>
          <m:e>
            <m:r>
              <m:rPr>
                <m:sty m:val="i"/>
              </m:rPr>
              <m:t>n</m:t>
            </m:r>
          </m:e>
          <m:sub>
            <m:r>
              <m:rPr>
                <m:sty m:val="i"/>
              </m:rPr>
              <m:t>e</m:t>
            </m:r>
          </m:sub>
        </m:sSub>
      </m:oMath>
      <w:r>
        <w:rPr>
          <w:rFonts w:eastAsia="Georgia" w:cs="Georgia" w:ascii="Georgia" w:hAnsi="Georgia"/>
        </w:rPr>
        <w:t xml:space="preserve"> une constante à exprimer.</w:t>
      </w:r>
      <w:r>
        <w:rPr/>
        <w:br w:type="textWrapping"/>
      </w:r>
      <w:r>
        <w:rPr>
          <w:rFonts w:eastAsia="Georgia" w:cs="Georgia" w:ascii="Georgia" w:hAnsi="Georgia"/>
        </w:rPr>
        <w:t xml:space="preserve">16. Justifier alors le terme "biréfringence" qui caractérise optiquement un tel milieu.</w:t>
      </w:r>
      <w:r>
        <w:rPr/>
        <w:br w:type="textWrapping"/>
      </w:r>
      <w:r>
        <w:rPr/>
        <w:t xml:space="preserve">17. On note </w:t>
      </w:r>
      <m:oMath>
        <m:r>
          <m:rPr>
            <m:sty m:val="i"/>
          </m:rPr>
          <m:t>ϕ</m:t>
        </m:r>
      </m:oMath>
      <w:r>
        <w:rPr/>
        <w:t xml:space="preserve"> l'angle que forment les vecteurs </w:t>
      </w:r>
      <m:oMath>
        <m:acc>
          <m:accPr>
            <m:chr m:val="⃗"/>
          </m:accPr>
          <m:e>
            <m:r>
              <m:rPr>
                <m:sty m:val="i"/>
              </m:rPr>
              <m:t>E</m:t>
            </m:r>
          </m:e>
        </m:acc>
      </m:oMath>
      <w:r>
        <w:rPr/>
        <w:t xml:space="preserve"> et </w:t>
      </w:r>
      <m:oMath>
        <m:sSub>
          <m:sSubPr/>
          <m:e>
            <m:acc>
              <m:accPr>
                <m:chr m:val="⃗"/>
              </m:accPr>
              <m:e>
                <m:r>
                  <m:rPr>
                    <m:sty m:val="i"/>
                  </m:rPr>
                  <m:t>e</m:t>
                </m:r>
              </m:e>
            </m:acc>
          </m:e>
          <m:sub>
            <m:r>
              <m:rPr>
                <m:sty m:val="i"/>
              </m:rPr>
              <m:t>y</m:t>
            </m:r>
          </m:sub>
        </m:sSub>
      </m:oMath>
      <w:r>
        <w:rPr/>
        <w:t xml:space="preserve">. Toujours dans le cas d'une polarisation dans le plan (Oxy) et de direction </w:t>
      </w:r>
      <m:oMath>
        <m:acc>
          <m:accPr>
            <m:chr m:val="⃗"/>
          </m:accPr>
          <m:e>
            <m:r>
              <m:rPr>
                <m:sty m:val="i"/>
              </m:rPr>
              <m:t>k</m:t>
            </m:r>
          </m:e>
        </m:acc>
        <m:r>
          <m:rPr>
            <m:sty m:val="p"/>
          </m:rPr>
          <m:t>=</m:t>
        </m:r>
        <m:r>
          <m:rPr>
            <m:sty m:val="i"/>
          </m:rPr>
          <m:t>k</m:t>
        </m:r>
        <m:acc>
          <m:accPr>
            <m:chr m:val="⃗"/>
          </m:accPr>
          <m:e>
            <m:r>
              <m:rPr>
                <m:sty m:val="i"/>
              </m:rPr>
              <m:t>u</m:t>
            </m:r>
          </m:e>
        </m:acc>
        <m:r>
          <m:rPr>
            <m:sty m:val="p"/>
          </m:rPr>
          <m:t>(</m:t>
        </m:r>
        <m:r>
          <m:rPr>
            <m:sty m:val="i"/>
          </m:rPr>
          <m:t>φ</m:t>
        </m:r>
        <m:r>
          <m:rPr>
            <m:sty m:val="p"/>
          </m:rPr>
          <m:t>)</m:t>
        </m:r>
      </m:oMath>
      <w:r>
        <w:rPr>
          <w:rFonts w:eastAsia="Georgia" w:cs="Georgia" w:ascii="Georgia" w:hAnsi="Georgia"/>
        </w:rPr>
        <w:t xml:space="preserve">, représenter les vecteurs </w:t>
      </w:r>
      <m:oMath>
        <m:acc>
          <m:accPr>
            <m:chr m:val="⃗"/>
          </m:accPr>
          <m:e>
            <m:r>
              <m:rPr>
                <m:sty m:val="i"/>
              </m:rPr>
              <m:t>n</m:t>
            </m:r>
          </m:e>
        </m:acc>
        <m:r>
          <m:rPr>
            <m:sty m:val="p"/>
          </m:rPr>
          <m:t>,</m:t>
        </m:r>
        <m:acc>
          <m:accPr>
            <m:chr m:val="⃗"/>
          </m:accPr>
          <m:e>
            <m:r>
              <m:rPr>
                <m:sty m:val="i"/>
              </m:rPr>
              <m:t>u</m:t>
            </m:r>
          </m:e>
        </m:acc>
        <m:r>
          <m:rPr>
            <m:sty m:val="p"/>
          </m:rPr>
          <m:t>,</m:t>
        </m:r>
        <m:acc>
          <m:accPr>
            <m:chr m:val="⃗"/>
          </m:accPr>
          <m:e>
            <m:r>
              <m:rPr>
                <m:sty m:val="i"/>
              </m:rPr>
              <m:t>D</m:t>
            </m:r>
          </m:e>
        </m:acc>
      </m:oMath>
      <w:r>
        <w:rPr/>
        <w:t xml:space="preserve"> et </w:t>
      </w:r>
      <m:oMath>
        <m:acc>
          <m:accPr>
            <m:chr m:val="⃗"/>
          </m:accPr>
          <m:e>
            <m:r>
              <m:rPr>
                <m:sty m:val="i"/>
              </m:rPr>
              <m:t>E</m:t>
            </m:r>
          </m:e>
        </m:acc>
      </m:oMath>
      <w:r>
        <w:rPr/>
        <w:t xml:space="preserve">.</w:t>
      </w:r>
      <w:r>
        <w:rPr/>
        <w:br w:type="textWrapping"/>
      </w:r>
      <w:r>
        <w:rPr/>
        <w:t xml:space="preserve">18. Relier </w:t>
      </w:r>
      <m:oMath>
        <m:r>
          <m:rPr>
            <m:sty m:val="p"/>
          </m:rPr>
          <m:t>tan</m:t>
        </m:r>
        <m:r>
          <m:rPr>
            <m:sty m:val="p"/>
          </m:rPr>
          <m:t>⁡</m:t>
        </m:r>
        <m:r>
          <m:rPr>
            <m:sty m:val="i"/>
          </m:rPr>
          <m:t>ϕ</m:t>
        </m:r>
      </m:oMath>
      <w:r>
        <w:rPr>
          <w:rFonts w:eastAsia="Georgia" w:cs="Georgia" w:ascii="Georgia" w:hAnsi="Georgia"/>
        </w:rPr>
        <w:t xml:space="preserve"> à </w:t>
      </w:r>
      <m:oMath>
        <m:r>
          <m:rPr>
            <m:sty m:val="p"/>
          </m:rPr>
          <m:t>tan</m:t>
        </m:r>
        <m:r>
          <m:rPr>
            <m:sty m:val="p"/>
          </m:rPr>
          <m:t>⁡</m:t>
        </m:r>
        <m:r>
          <m:rPr>
            <m:sty m:val="i"/>
          </m:rPr>
          <m:t>φ</m:t>
        </m:r>
      </m:oMath>
      <w:r>
        <w:rPr/>
        <w:t xml:space="preserve"> et au rapport </w:t>
      </w:r>
      <m:oMath>
        <m:sSub>
          <m:sSubPr/>
          <m:e>
            <m:r>
              <m:rPr>
                <m:sty m:val="i"/>
              </m:rPr>
              <m:t>n</m:t>
            </m:r>
          </m:e>
          <m:sub>
            <m:r>
              <m:rPr>
                <m:sty m:val="i"/>
              </m:rPr>
              <m:t>o</m:t>
            </m:r>
          </m:sub>
        </m:sSub>
        <m:r>
          <m:rPr>
            <m:sty m:val="p"/>
          </m:rPr>
          <m:t>/</m:t>
        </m:r>
        <m:sSub>
          <m:sSubPr/>
          <m:e>
            <m:r>
              <m:rPr>
                <m:sty m:val="i"/>
              </m:rPr>
              <m:t>n</m:t>
            </m:r>
          </m:e>
          <m:sub>
            <m:r>
              <m:rPr>
                <m:sty m:val="i"/>
              </m:rPr>
              <m:t>e</m:t>
            </m:r>
          </m:sub>
        </m:sSub>
      </m:oMath>
      <w:r>
        <w:rPr/>
        <w:t xml:space="preserve">.</w:t>
      </w:r>
    </w:p>
    <w:p>
      <w:pPr>
        <w:spacing w:line="271" w:before="330" w:lineRule="auto"/>
      </w:pPr>
      <w:r>
        <w:rPr>
          <w:b/>
          <w:sz w:val="42"/>
        </w:rPr>
        <w:t xml:space="preserve">III Rayons ordinaire et extraordinaire.</w:t>
      </w:r>
    </w:p>
    <w:p>
      <w:pPr>
        <w:spacing w:after="220" w:lineRule="auto"/>
      </w:pPr>
      <w:r>
        <w:rPr>
          <w:rFonts w:eastAsia="Georgia" w:cs="Georgia" w:ascii="Georgia" w:hAnsi="Georgia"/>
        </w:rPr>
        <w:t xml:space="preserve">Nous considérons une lame de cristal liquide nématique, d'épaisseur </w:t>
      </w:r>
      <m:oMath>
        <m:r>
          <m:rPr>
            <m:sty m:val="i"/>
          </m:rPr>
          <m:t>e</m:t>
        </m:r>
      </m:oMath>
      <w:r>
        <w:rPr/>
        <w:t xml:space="preserve"> dans la direction du directeur </w:t>
      </w:r>
      <m:oMath>
        <m:acc>
          <m:accPr>
            <m:chr m:val="⃗"/>
          </m:accPr>
          <m:e>
            <m:r>
              <m:rPr>
                <m:sty m:val="i"/>
              </m:rPr>
              <m:t>n</m:t>
            </m:r>
          </m:e>
        </m:acc>
      </m:oMath>
      <w:r>
        <w:rPr>
          <w:rFonts w:eastAsia="Georgia" w:cs="Georgia" w:ascii="Georgia" w:hAnsi="Georgia"/>
        </w:rPr>
        <w:t xml:space="preserve">, et considérée comme infinie dans les autres directions. Une lumière non polarisée éclaire le dioptre d'entrée sous une incidence </w:t>
      </w:r>
      <m:oMath>
        <m:r>
          <m:rPr>
            <m:sty m:val="i"/>
          </m:rPr>
          <m:t>i</m:t>
        </m:r>
      </m:oMath>
      <w:r>
        <w:rPr/>
        <w:t xml:space="preserve"> (figure (2)). La direction de propagation de l'onde incidente se situe dans le plan </w:t>
      </w:r>
      <m:oMath>
        <m:r>
          <m:rPr>
            <m:sty m:val="p"/>
          </m:rPr>
          <m:t>(</m:t>
        </m:r>
        <m:r>
          <m:rPr>
            <m:sty m:val="i"/>
          </m:rPr>
          <m:t>O</m:t>
        </m:r>
        <m:r>
          <m:rPr>
            <m:sty m:val="i"/>
          </m:rPr>
          <m:t>x</m:t>
        </m:r>
        <m:r>
          <m:rPr>
            <m:sty m:val="i"/>
          </m:rPr>
          <m:t>y</m:t>
        </m:r>
        <m:r>
          <m:rPr>
            <m:sty m:val="p"/>
          </m:rPr>
          <m:t>)</m:t>
        </m:r>
      </m:oMath>
      <w:r>
        <w:rPr>
          <w:rFonts w:eastAsia="Georgia" w:cs="Georgia" w:ascii="Georgia" w:hAnsi="Georgia"/>
        </w:rPr>
        <w:t xml:space="preserve"> et l'on admet que le rayon réfracté par le dioptre reste dans ce plan. Les propriétés diélectriques de l'air environnant sont assimilées à celles du vide.</w:t>
      </w:r>
    </w:p>
    <w:p>
      <w:pPr>
        <w:spacing w:lineRule="auto"/>
        <w:jc w:val="center"/>
      </w:pPr>
      <w:r>
        <w:rPr/>
        <w:drawing>
          <wp:inline distB="0" distL="0" distR="0" distT="0">
            <wp:extent cx="5486400" cy="2765946"/>
            <wp:effectExtent b="0" l="0" r="0" t="0"/>
            <wp:docPr id="2" name="image-64a612291525669ce62396128844c5ea581dacf0.jpg"/>
            <a:graphic>
              <a:graphicData uri="http://schemas.openxmlformats.org/drawingml/2006/picture">
                <pic:pic>
                  <pic:nvPicPr>
                    <pic:cNvPr id="2" name="image-64a612291525669ce62396128844c5ea581dacf0.jpg" descr=""/>
                    <pic:cNvPicPr/>
                  </pic:nvPicPr>
                  <pic:blipFill>
                    <a:blip r:embed="rId6" cstate="print"/>
                    <a:srcRect b="0" l="0" r="0" t="0"/>
                    <a:stretch>
                      <a:fillRect/>
                    </a:stretch>
                  </pic:blipFill>
                  <pic:spPr>
                    <a:xfrm>
                      <a:off x="0" y="0"/>
                      <a:ext cx="5486400" cy="2765946"/>
                    </a:xfrm>
                    <a:prstGeom prst="rect"/>
                  </pic:spPr>
                </pic:pic>
              </a:graphicData>
            </a:graphic>
          </wp:inline>
        </w:drawing>
      </w:r>
    </w:p>
    <w:p>
      <w:pPr>
        <w:spacing w:lineRule="auto"/>
      </w:pPr>
      <w:r>
        <w:rPr>
          <w:rFonts w:eastAsia="Georgia" w:cs="Georgia" w:ascii="Georgia" w:hAnsi="Georgia"/>
        </w:rPr>
        <w:t xml:space="preserve">Figure 2 - Lame de nématique irradiée par une lumière non polarisée, sous l'incidence </w:t>
      </w:r>
      <m:oMath>
        <m:r>
          <m:rPr>
            <m:sty m:val="i"/>
          </m:rPr>
          <m:t>i</m:t>
        </m:r>
      </m:oMath>
      <w:r>
        <w:rPr/>
        <w:t xml:space="preserve">.</w:t>
      </w:r>
    </w:p>
    <w:p>
      <w:pPr>
        <w:numPr>
          <w:ilvl w:val="0"/>
          <w:numId w:val="6"/>
        </w:numPr>
        <w:spacing w:lineRule="auto"/>
      </w:pPr>
      <w:r>
        <w:rPr>
          <w:rFonts w:eastAsia="Georgia" w:cs="Georgia" w:ascii="Georgia" w:hAnsi="Georgia"/>
        </w:rPr>
        <w:t xml:space="preserve">Expliquer pourquoi le rayon incident donne naissance à deux rayons réfractés (représentés par leur vecteur d'onde). On note </w:t>
      </w:r>
      <m:oMath>
        <m:sSub>
          <m:sSubPr/>
          <m:e>
            <m:r>
              <m:rPr>
                <m:sty m:val="i"/>
              </m:rPr>
              <m:t>r</m:t>
            </m:r>
          </m:e>
          <m:sub>
            <m:r>
              <m:rPr>
                <m:sty m:val="i"/>
              </m:rPr>
              <m:t>o</m:t>
            </m:r>
          </m:sub>
        </m:sSub>
      </m:oMath>
      <w:r>
        <w:rPr/>
        <w:t xml:space="preserve"> et </w:t>
      </w:r>
      <m:oMath>
        <m:sSub>
          <m:sSubPr/>
          <m:e>
            <m:r>
              <m:rPr>
                <m:sty m:val="i"/>
              </m:rPr>
              <m:t>r</m:t>
            </m:r>
          </m:e>
          <m:sub>
            <m:r>
              <m:rPr>
                <m:sty m:val="i"/>
              </m:rPr>
              <m:t>e</m:t>
            </m:r>
          </m:sub>
        </m:sSub>
      </m:oMath>
      <w:r>
        <w:rPr>
          <w:rFonts w:eastAsia="Georgia" w:cs="Georgia" w:ascii="Georgia" w:hAnsi="Georgia"/>
        </w:rPr>
        <w:t xml:space="preserve"> les angles que forment ces rayons avec la normale au dioptre. Préciser les indices optiques associés à chacun de ces rayons.</w:t>
      </w:r>
    </w:p>
    <w:p>
      <w:pPr>
        <w:numPr>
          <w:ilvl w:val="0"/>
          <w:numId w:val="6"/>
        </w:numPr>
        <w:spacing w:lineRule="auto"/>
      </w:pPr>
      <w:r>
        <w:rPr>
          <w:rFonts w:eastAsia="Georgia" w:cs="Georgia" w:ascii="Georgia" w:hAnsi="Georgia"/>
        </w:rPr>
        <w:t xml:space="preserve">En déduire que l'un des deux rayons n'est pas dévié à la traversée du dioptre. Ce rayon est dit rayon ordinaire.</w:t>
      </w:r>
    </w:p>
    <w:p>
      <w:pPr>
        <w:numPr>
          <w:ilvl w:val="0"/>
          <w:numId w:val="6"/>
        </w:numPr>
        <w:spacing w:lineRule="auto"/>
      </w:pPr>
      <w:r>
        <w:rPr>
          <w:rFonts w:eastAsia="Georgia" w:cs="Georgia" w:ascii="Georgia" w:hAnsi="Georgia"/>
        </w:rPr>
        <w:t xml:space="preserve">Pour le second rayon, dit extraordinaire, établir une relation entre </w:t>
      </w:r>
      <m:oMath>
        <m:r>
          <m:rPr>
            <m:sty m:val="p"/>
          </m:rPr>
          <m:t>tan</m:t>
        </m:r>
        <m:r>
          <m:rPr>
            <m:sty m:val="p"/>
          </m:rPr>
          <m:t>⁡</m:t>
        </m:r>
        <m:sSub>
          <m:sSubPr/>
          <m:e>
            <m:r>
              <m:rPr>
                <m:sty m:val="i"/>
              </m:rPr>
              <m:t>r</m:t>
            </m:r>
          </m:e>
          <m:sub>
            <m:r>
              <m:rPr>
                <m:sty m:val="i"/>
              </m:rPr>
              <m:t>e</m:t>
            </m:r>
          </m:sub>
        </m:sSub>
        <m:r>
          <m:rPr>
            <m:sty m:val="p"/>
          </m:rPr>
          <m:t>,</m:t>
        </m:r>
        <m:r>
          <m:rPr>
            <m:sty m:val="p"/>
          </m:rPr>
          <m:t>sin</m:t>
        </m:r>
        <m:r>
          <m:rPr>
            <m:sty m:val="p"/>
          </m:rPr>
          <m:t>⁡</m:t>
        </m:r>
        <m:r>
          <m:rPr>
            <m:sty m:val="i"/>
          </m:rPr>
          <m:t>i</m:t>
        </m:r>
        <m:r>
          <m:rPr>
            <m:sty m:val="p"/>
          </m:rPr>
          <m:t>,</m:t>
        </m:r>
        <m:sSub>
          <m:sSubPr/>
          <m:e>
            <m:r>
              <m:rPr>
                <m:sty m:val="i"/>
              </m:rPr>
              <m:t>n</m:t>
            </m:r>
          </m:e>
          <m:sub>
            <m:r>
              <m:rPr>
                <m:sty m:val="i"/>
              </m:rPr>
              <m:t>o</m:t>
            </m:r>
          </m:sub>
        </m:sSub>
      </m:oMath>
      <w:r>
        <w:rPr/>
        <w:t xml:space="preserve"> et </w:t>
      </w:r>
      <m:oMath>
        <m:sSub>
          <m:sSubPr/>
          <m:e>
            <m:r>
              <m:rPr>
                <m:sty m:val="i"/>
              </m:rPr>
              <m:t>n</m:t>
            </m:r>
          </m:e>
          <m:sub>
            <m:r>
              <m:rPr>
                <m:sty m:val="i"/>
              </m:rPr>
              <m:t>e</m:t>
            </m:r>
          </m:sub>
        </m:sSub>
      </m:oMath>
      <w:r>
        <w:rPr/>
        <w:t xml:space="preserve">.</w:t>
      </w:r>
    </w:p>
    <w:p>
      <w:pPr>
        <w:numPr>
          <w:ilvl w:val="0"/>
          <w:numId w:val="6"/>
        </w:numPr>
        <w:spacing w:lineRule="auto"/>
      </w:pPr>
      <w:r>
        <w:rPr>
          <w:rFonts w:eastAsia="Georgia" w:cs="Georgia" w:ascii="Georgia" w:hAnsi="Georgia"/>
        </w:rPr>
        <w:t xml:space="preserve">Représenter, en coordonnées polaires, l'évolution de l'indice en fonction de l'angle de la direction du rayon réfracté, pour chacun des rayons. En déduire que l'indice du rayon extraordinaire est toujours supérieur à celui du rayon ordinaire.</w:t>
      </w:r>
    </w:p>
    <w:p>
      <w:pPr>
        <w:numPr>
          <w:ilvl w:val="0"/>
          <w:numId w:val="6"/>
        </w:numPr>
        <w:spacing w:lineRule="auto"/>
      </w:pPr>
      <w:r>
        <w:rPr>
          <w:rFonts w:eastAsia="Georgia" w:cs="Georgia" w:ascii="Georgia" w:hAnsi="Georgia"/>
        </w:rPr>
        <w:t xml:space="preserve">Représenter les rayons ordinaire et extraordinaire dans le milieu, et après leur traversée du second dioptre. Représenter, sur ce même schéma, le vecteur déplacement associé à chacun de ces rayons.</w:t>
      </w:r>
    </w:p>
    <w:p>
      <w:pPr>
        <w:spacing w:line="271" w:before="330" w:lineRule="auto"/>
      </w:pPr>
      <w:r>
        <w:rPr>
          <w:rFonts w:eastAsia="Georgia" w:cs="Georgia" w:ascii="Georgia" w:hAnsi="Georgia"/>
          <w:b/>
          <w:sz w:val="42"/>
        </w:rPr>
        <w:t xml:space="preserve">IV Propagation de la lumière dans une phase cholestérique.</w:t>
      </w:r>
    </w:p>
    <w:p>
      <w:pPr>
        <w:spacing w:after="220" w:lineRule="auto"/>
      </w:pPr>
      <w:r>
        <w:rPr>
          <w:rFonts w:eastAsia="Georgia" w:cs="Georgia" w:ascii="Georgia" w:hAnsi="Georgia"/>
        </w:rPr>
        <w:t xml:space="preserve">Dans cette dernière partie nous considérons une OPPH, de pulsation </w:t>
      </w:r>
      <m:oMath>
        <m:r>
          <m:rPr>
            <m:sty m:val="i"/>
          </m:rPr>
          <m:t>ω</m:t>
        </m:r>
      </m:oMath>
      <w:r>
        <w:rPr/>
        <w:t xml:space="preserve"> et de nombre d'onde </w:t>
      </w:r>
      <m:oMath>
        <m:r>
          <m:rPr>
            <m:sty m:val="i"/>
          </m:rPr>
          <m:t>K</m:t>
        </m:r>
      </m:oMath>
      <w:r>
        <w:rPr/>
        <w:t xml:space="preserve">, se propageant selon les </w:t>
      </w:r>
      <m:oMath>
        <m:r>
          <m:rPr>
            <m:sty m:val="i"/>
          </m:rPr>
          <m:t>z</m:t>
        </m:r>
      </m:oMath>
      <w:r>
        <w:rPr>
          <w:rFonts w:eastAsia="Georgia" w:cs="Georgia" w:ascii="Georgia" w:hAnsi="Georgia"/>
        </w:rPr>
        <w:t xml:space="preserve"> positifs et polarisée dans le plan ( </w:t>
      </w:r>
      <m:oMath>
        <m:r>
          <m:rPr>
            <m:sty m:val="i"/>
          </m:rPr>
          <m:t>O</m:t>
        </m:r>
        <m:r>
          <m:rPr>
            <m:sty m:val="i"/>
          </m:rPr>
          <m:t>x</m:t>
        </m:r>
        <m:r>
          <m:rPr>
            <m:sty m:val="i"/>
          </m:rPr>
          <m:t>y</m:t>
        </m:r>
      </m:oMath>
      <w:r>
        <w:rPr/>
        <w:t xml:space="preserve"> ) (voir figure (3)).</w:t>
      </w:r>
    </w:p>
    <w:p>
      <w:pPr>
        <w:spacing w:after="220" w:lineRule="auto"/>
      </w:pPr>
      <w:r>
        <w:rPr>
          <w:rFonts w:eastAsia="Georgia" w:cs="Georgia" w:ascii="Georgia" w:hAnsi="Georgia"/>
        </w:rPr>
        <w:t xml:space="preserve">Lorsque les molécules qui constituent le cristal liquide sont chirales, la phase nématique peut présenter une rotation du directeur </w:t>
      </w:r>
      <m:oMath>
        <m:acc>
          <m:accPr>
            <m:chr m:val="⃗"/>
          </m:accPr>
          <m:e>
            <m:r>
              <m:rPr>
                <m:sty m:val="i"/>
              </m:rPr>
              <m:t>n</m:t>
            </m:r>
          </m:e>
        </m:acc>
      </m:oMath>
      <w:r>
        <w:rPr>
          <w:rFonts w:eastAsia="Georgia" w:cs="Georgia" w:ascii="Georgia" w:hAnsi="Georgia"/>
        </w:rPr>
        <w:t xml:space="preserve"> selon une hélice régulière de pas </w:t>
      </w:r>
      <m:oMath>
        <m:r>
          <m:rPr>
            <m:sty m:val="i"/>
          </m:rPr>
          <m:t>p</m:t>
        </m:r>
      </m:oMath>
      <w:r>
        <w:rPr>
          <w:rFonts w:eastAsia="Georgia" w:cs="Georgia" w:ascii="Georgia" w:hAnsi="Georgia"/>
        </w:rPr>
        <w:t xml:space="preserve"> et d'axe perpendiculaire à </w:t>
      </w:r>
      <m:oMath>
        <m:acc>
          <m:accPr>
            <m:chr m:val="⃗"/>
          </m:accPr>
          <m:e>
            <m:r>
              <m:rPr>
                <m:sty m:val="i"/>
              </m:rPr>
              <m:t>n</m:t>
            </m:r>
          </m:e>
        </m:acc>
      </m:oMath>
      <w:r>
        <w:rPr>
          <w:rFonts w:eastAsia="Georgia" w:cs="Georgia" w:ascii="Georgia" w:hAnsi="Georgia"/>
        </w:rPr>
        <w:t xml:space="preserve">. La figure (3) schématise les molécules dans des plans horizontaux successifs, étant entendu que la variation de direction du directeur est continue et régulière. On pose </w:t>
      </w:r>
      <m:oMath>
        <m:r>
          <m:rPr>
            <m:sty m:val="i"/>
          </m:rPr>
          <m:t>q</m:t>
        </m:r>
        <m:r>
          <m:rPr>
            <m:sty m:val="p"/>
          </m:rPr>
          <m:t>=</m:t>
        </m:r>
        <m:r>
          <m:rPr>
            <m:sty m:val="p"/>
          </m:rPr>
          <m:t>2</m:t>
        </m:r>
        <m:r>
          <m:rPr>
            <m:sty m:val="i"/>
          </m:rPr>
          <m:t>π</m:t>
        </m:r>
        <m:r>
          <m:rPr>
            <m:sty m:val="p"/>
          </m:rPr>
          <m:t>/</m:t>
        </m:r>
        <m:r>
          <m:rPr>
            <m:sty m:val="i"/>
          </m:rPr>
          <m:t>p</m:t>
        </m:r>
      </m:oMath>
      <w:r>
        <w:rPr/>
        <w:t xml:space="preserve">.</w:t>
      </w:r>
    </w:p>
    <w:p>
      <w:pPr>
        <w:spacing w:lineRule="auto"/>
        <w:jc w:val="center"/>
      </w:pPr>
      <w:r>
        <w:rPr/>
        <w:drawing>
          <wp:inline distB="0" distL="0" distR="0" distT="0">
            <wp:extent cx="5486400" cy="2483576"/>
            <wp:effectExtent b="0" l="0" r="0" t="0"/>
            <wp:docPr id="3" name="image-f27267a7606b9d2b61108c40cac3153e3abfce83.jpg"/>
            <a:graphic>
              <a:graphicData uri="http://schemas.openxmlformats.org/drawingml/2006/picture">
                <pic:pic>
                  <pic:nvPicPr>
                    <pic:cNvPr id="3" name="image-f27267a7606b9d2b61108c40cac3153e3abfce83.jpg" descr=""/>
                    <pic:cNvPicPr/>
                  </pic:nvPicPr>
                  <pic:blipFill>
                    <a:blip r:embed="rId7" cstate="print"/>
                    <a:srcRect b="0" l="0" r="0" t="0"/>
                    <a:stretch>
                      <a:fillRect/>
                    </a:stretch>
                  </pic:blipFill>
                  <pic:spPr>
                    <a:xfrm>
                      <a:off x="0" y="0"/>
                      <a:ext cx="5486400" cy="2483576"/>
                    </a:xfrm>
                    <a:prstGeom prst="rect"/>
                  </pic:spPr>
                </pic:pic>
              </a:graphicData>
            </a:graphic>
          </wp:inline>
        </w:drawing>
      </w:r>
    </w:p>
    <w:p>
      <w:pPr>
        <w:spacing w:lineRule="auto"/>
      </w:pPr>
      <w:r>
        <w:rPr>
          <w:rFonts w:eastAsia="Georgia" w:cs="Georgia" w:ascii="Georgia" w:hAnsi="Georgia"/>
        </w:rPr>
        <w:t xml:space="preserve">Figure 3 - Cristal liquide en phase cholestérique : évolution hélicoïdale du directeur </w:t>
      </w:r>
      <m:oMath>
        <m:acc>
          <m:accPr>
            <m:chr m:val="⃗"/>
          </m:accPr>
          <m:e>
            <m:r>
              <m:rPr>
                <m:sty m:val="i"/>
              </m:rPr>
              <m:t>n</m:t>
            </m:r>
          </m:e>
        </m:acc>
      </m:oMath>
      <w:r>
        <w:rPr/>
        <w:t xml:space="preserve">.</w:t>
      </w:r>
    </w:p>
    <w:p>
      <w:pPr>
        <w:spacing w:after="220" w:lineRule="auto"/>
      </w:pPr>
      <w:r>
        <w:rPr/>
        <w:t xml:space="preserve">On note </w:t>
      </w:r>
      <m:oMath>
        <m:r>
          <m:rPr>
            <m:sty m:val="i"/>
          </m:rPr>
          <m:t>θ</m:t>
        </m:r>
        <m:r>
          <m:rPr>
            <m:sty m:val="p"/>
          </m:rPr>
          <m:t>(</m:t>
        </m:r>
        <m:r>
          <m:rPr>
            <m:sty m:val="i"/>
          </m:rPr>
          <m:t>z</m:t>
        </m:r>
        <m:r>
          <m:rPr>
            <m:sty m:val="p"/>
          </m:rPr>
          <m:t>)</m:t>
        </m:r>
      </m:oMath>
      <w:r>
        <w:rPr/>
        <w:t xml:space="preserve"> l'angle que forme le directeur </w:t>
      </w:r>
      <m:oMath>
        <m:acc>
          <m:accPr>
            <m:chr m:val="⃗"/>
          </m:accPr>
          <m:e>
            <m:r>
              <m:rPr>
                <m:sty m:val="i"/>
              </m:rPr>
              <m:t>n</m:t>
            </m:r>
          </m:e>
        </m:acc>
        <m:r>
          <m:rPr>
            <m:sty m:val="p"/>
          </m:rPr>
          <m:t>(</m:t>
        </m:r>
        <m:r>
          <m:rPr>
            <m:sty m:val="i"/>
          </m:rPr>
          <m:t>z</m:t>
        </m:r>
        <m:r>
          <m:rPr>
            <m:sty m:val="p"/>
          </m:rPr>
          <m:t>)</m:t>
        </m:r>
      </m:oMath>
      <w:r>
        <w:rPr>
          <w:rFonts w:eastAsia="Georgia" w:cs="Georgia" w:ascii="Georgia" w:hAnsi="Georgia"/>
        </w:rPr>
        <w:t xml:space="preserve">, à l'altitude </w:t>
      </w:r>
      <m:oMath>
        <m:r>
          <m:rPr>
            <m:sty m:val="i"/>
          </m:rPr>
          <m:t>z</m:t>
        </m:r>
      </m:oMath>
      <w:r>
        <w:rPr/>
        <w:t xml:space="preserve">, avec le vecteur </w:t>
      </w:r>
      <m:oMath>
        <m:sSub>
          <m:sSubPr/>
          <m:e>
            <m:acc>
              <m:accPr>
                <m:chr m:val="⃗"/>
              </m:accPr>
              <m:e>
                <m:r>
                  <m:rPr>
                    <m:sty m:val="i"/>
                  </m:rPr>
                  <m:t>e</m:t>
                </m:r>
              </m:e>
            </m:acc>
          </m:e>
          <m:sub>
            <m:r>
              <m:rPr>
                <m:sty m:val="i"/>
              </m:rPr>
              <m:t>x</m:t>
            </m:r>
          </m:sub>
        </m:sSub>
      </m:oMath>
      <w:r>
        <w:rPr>
          <w:rFonts w:eastAsia="Georgia" w:cs="Georgia" w:ascii="Georgia" w:hAnsi="Georgia"/>
        </w:rPr>
        <w:t xml:space="preserve">. On définit les vecteurs cylindriques radiaux </w:t>
      </w:r>
      <m:oMath>
        <m:sSub>
          <m:sSubPr/>
          <m:e>
            <m:acc>
              <m:accPr>
                <m:chr m:val="⃗"/>
              </m:accPr>
              <m:e>
                <m:r>
                  <m:rPr>
                    <m:sty m:val="i"/>
                  </m:rPr>
                  <m:t>e</m:t>
                </m:r>
              </m:e>
            </m:acc>
          </m:e>
          <m:sub>
            <m:r>
              <m:rPr>
                <m:sty m:val="i"/>
              </m:rPr>
              <m:t>r</m:t>
            </m:r>
          </m:sub>
        </m:sSub>
        <m:r>
          <m:rPr>
            <m:sty m:val="p"/>
          </m:rPr>
          <m:t>(</m:t>
        </m:r>
        <m:r>
          <m:rPr>
            <m:sty m:val="i"/>
          </m:rPr>
          <m:t>z</m:t>
        </m:r>
        <m:r>
          <m:rPr>
            <m:sty m:val="p"/>
          </m:rPr>
          <m:t>)</m:t>
        </m:r>
        <m:r>
          <m:rPr>
            <m:sty m:val="p"/>
          </m:rPr>
          <m:t>≡</m:t>
        </m:r>
        <m:acc>
          <m:accPr>
            <m:chr m:val="⃗"/>
          </m:accPr>
          <m:e>
            <m:r>
              <m:rPr>
                <m:sty m:val="i"/>
              </m:rPr>
              <m:t>n</m:t>
            </m:r>
          </m:e>
        </m:acc>
        <m:r>
          <m:rPr>
            <m:sty m:val="p"/>
          </m:rPr>
          <m:t>(</m:t>
        </m:r>
        <m:r>
          <m:rPr>
            <m:sty m:val="i"/>
          </m:rPr>
          <m:t>z</m:t>
        </m:r>
        <m:r>
          <m:rPr>
            <m:sty m:val="p"/>
          </m:rPr>
          <m:t>)</m:t>
        </m:r>
      </m:oMath>
      <w:r>
        <w:rPr/>
        <w:t xml:space="preserve"> et orthoradiaux </w:t>
      </w:r>
      <m:oMath>
        <m:sSub>
          <m:sSubPr/>
          <m:e>
            <m:acc>
              <m:accPr>
                <m:chr m:val="⃗"/>
              </m:accPr>
              <m:e>
                <m:r>
                  <m:rPr>
                    <m:sty m:val="i"/>
                  </m:rPr>
                  <m:t>e</m:t>
                </m:r>
              </m:e>
            </m:acc>
          </m:e>
          <m:sub>
            <m:r>
              <m:rPr>
                <m:sty m:val="i"/>
              </m:rPr>
              <m:t>θ</m:t>
            </m:r>
          </m:sub>
        </m:sSub>
        <m:r>
          <m:rPr>
            <m:sty m:val="p"/>
          </m:rPr>
          <m:t>(</m:t>
        </m:r>
        <m:r>
          <m:rPr>
            <m:sty m:val="i"/>
          </m:rPr>
          <m:t>z</m:t>
        </m:r>
        <m:r>
          <m:rPr>
            <m:sty m:val="p"/>
          </m:rPr>
          <m:t>)</m:t>
        </m:r>
      </m:oMath>
      <w:r>
        <w:rPr>
          <w:rFonts w:eastAsia="Georgia" w:cs="Georgia" w:ascii="Georgia" w:hAnsi="Georgia"/>
        </w:rPr>
        <w:t xml:space="preserve">. Dans cette base cylindrique, le champ électrique (polarisé dans le plan </w:t>
      </w:r>
      <m:oMath>
        <m:r>
          <m:rPr>
            <m:sty m:val="p"/>
          </m:rPr>
          <m:t>(</m:t>
        </m:r>
        <m:r>
          <m:rPr>
            <m:sty m:val="i"/>
          </m:rPr>
          <m:t>O</m:t>
        </m:r>
        <m:r>
          <m:rPr>
            <m:sty m:val="i"/>
          </m:rPr>
          <m:t>x</m:t>
        </m:r>
        <m:r>
          <m:rPr>
            <m:sty m:val="i"/>
          </m:rPr>
          <m:t>y</m:t>
        </m:r>
        <m:r>
          <m:rPr>
            <m:sty m:val="p"/>
          </m:rPr>
          <m:t>)</m:t>
        </m:r>
        <m:r>
          <m:rPr>
            <m:sty m:val="p"/>
          </m:rPr>
          <m:t>)</m:t>
        </m:r>
      </m:oMath>
      <w:r>
        <w:rPr>
          <w:rFonts w:eastAsia="Georgia" w:cs="Georgia" w:ascii="Georgia" w:hAnsi="Georgia"/>
        </w:rPr>
        <w:t xml:space="preserve"> se décompose :</w:t>
      </w:r>
    </w:p>
    <w:p>
      <w:pPr>
        <w:spacing w:after="220" w:lineRule="auto"/>
      </w:pPr>
      <m:oMathPara>
        <m:oMath>
          <m:acc>
            <m:accPr>
              <m:chr m:val="⃗"/>
            </m:accPr>
            <m:e>
              <m:r>
                <m:rPr>
                  <m:sty m:val="i"/>
                </m:rPr>
                <m:t>E</m:t>
              </m:r>
            </m:e>
          </m:acc>
          <m:r>
            <m:rPr>
              <m:sty m:val="p"/>
            </m:rPr>
            <m:t>(</m:t>
          </m:r>
          <m:r>
            <m:rPr>
              <m:sty m:val="i"/>
            </m:rPr>
            <m:t>z</m:t>
          </m:r>
          <m:r>
            <m:rPr>
              <m:sty m:val="p"/>
            </m:rPr>
            <m:t>,</m:t>
          </m:r>
          <m:r>
            <m:rPr>
              <m:sty m:val="i"/>
            </m:rPr>
            <m:t>t</m:t>
          </m:r>
          <m:r>
            <m:rPr>
              <m:sty m:val="p"/>
            </m:rPr>
            <m:t>)</m:t>
          </m:r>
          <m:r>
            <m:rPr>
              <m:sty m:val="p"/>
            </m:rPr>
            <m:t>=</m:t>
          </m:r>
          <m:sSub>
            <m:sSubPr/>
            <m:e>
              <m:r>
                <m:rPr>
                  <m:sty m:val="i"/>
                </m:rPr>
                <m:t>E</m:t>
              </m:r>
            </m:e>
            <m:sub>
              <m:r>
                <m:rPr>
                  <m:sty m:val="i"/>
                </m:rPr>
                <m:t>r</m:t>
              </m:r>
            </m:sub>
          </m:sSub>
          <m:r>
            <m:rPr>
              <m:sty m:val="p"/>
            </m:rPr>
            <m:t>(</m:t>
          </m:r>
          <m:r>
            <m:rPr>
              <m:sty m:val="i"/>
            </m:rPr>
            <m:t>z</m:t>
          </m:r>
          <m:r>
            <m:rPr>
              <m:sty m:val="p"/>
            </m:rPr>
            <m:t>,</m:t>
          </m:r>
          <m:r>
            <m:rPr>
              <m:sty m:val="i"/>
            </m:rPr>
            <m:t>t</m:t>
          </m:r>
          <m:r>
            <m:rPr>
              <m:sty m:val="p"/>
            </m:rPr>
            <m:t>)</m:t>
          </m:r>
          <m:sSub>
            <m:sSubPr/>
            <m:e>
              <m:acc>
                <m:accPr>
                  <m:chr m:val="⃗"/>
                </m:accPr>
                <m:e>
                  <m:r>
                    <m:rPr>
                      <m:sty m:val="i"/>
                    </m:rPr>
                    <m:t>e</m:t>
                  </m:r>
                </m:e>
              </m:acc>
            </m:e>
            <m:sub>
              <m:r>
                <m:rPr>
                  <m:sty m:val="i"/>
                </m:rPr>
                <m:t>r</m:t>
              </m:r>
            </m:sub>
          </m:sSub>
          <m:r>
            <m:rPr>
              <m:sty m:val="p"/>
            </m:rPr>
            <m:t>+</m:t>
          </m:r>
          <m:sSub>
            <m:sSubPr/>
            <m:e>
              <m:r>
                <m:rPr>
                  <m:sty m:val="i"/>
                </m:rPr>
                <m:t>E</m:t>
              </m:r>
            </m:e>
            <m:sub>
              <m:r>
                <m:rPr>
                  <m:sty m:val="i"/>
                </m:rPr>
                <m:t>θ</m:t>
              </m:r>
            </m:sub>
          </m:sSub>
          <m:r>
            <m:rPr>
              <m:sty m:val="p"/>
            </m:rPr>
            <m:t>(</m:t>
          </m:r>
          <m:r>
            <m:rPr>
              <m:sty m:val="i"/>
            </m:rPr>
            <m:t>z</m:t>
          </m:r>
          <m:r>
            <m:rPr>
              <m:sty m:val="p"/>
            </m:rPr>
            <m:t>,</m:t>
          </m:r>
          <m:r>
            <m:rPr>
              <m:sty m:val="i"/>
            </m:rPr>
            <m:t>t</m:t>
          </m:r>
          <m:r>
            <m:rPr>
              <m:sty m:val="p"/>
            </m:rPr>
            <m:t>)</m:t>
          </m:r>
          <m:sSub>
            <m:sSubPr/>
            <m:e>
              <m:acc>
                <m:accPr>
                  <m:chr m:val="⃗"/>
                </m:accPr>
                <m:e>
                  <m:r>
                    <m:rPr>
                      <m:sty m:val="i"/>
                    </m:rPr>
                    <m:t>e</m:t>
                  </m:r>
                </m:e>
              </m:acc>
            </m:e>
            <m:sub>
              <m:r>
                <m:rPr>
                  <m:sty m:val="i"/>
                </m:rPr>
                <m:t>θ</m:t>
              </m:r>
            </m:sub>
          </m:sSub>
          <m:r>
            <m:rPr>
              <m:sty m:val="p"/>
            </m:rPr>
            <m:t>.</m:t>
          </m:r>
        </m:oMath>
      </m:oMathPara>
    </w:p>
    <w:p>
      <w:pPr>
        <w:spacing w:after="220" w:lineRule="auto"/>
      </w:pPr>
      <w:r>
        <w:rPr/>
        <w:t xml:space="preserve">On note </w:t>
      </w:r>
      <m:oMath>
        <m:sSubSup>
          <m:sSubSupPr/>
          <m:e>
            <m:bar>
              <m:barPr/>
              <m:e>
                <m:r>
                  <m:rPr>
                    <m:sty m:val="i"/>
                  </m:rPr>
                  <m:t>E</m:t>
                </m:r>
              </m:e>
            </m:bar>
          </m:e>
          <m:sub>
            <m:r>
              <m:rPr>
                <m:sty m:val="i"/>
              </m:rPr>
              <m:t>r</m:t>
            </m:r>
          </m:sub>
          <m:sup>
            <m:r>
              <m:rPr>
                <m:sty m:val="p"/>
              </m:rPr>
              <m:t>0</m:t>
            </m:r>
          </m:sup>
        </m:sSubSup>
      </m:oMath>
      <w:r>
        <w:rPr/>
        <w:t xml:space="preserve"> (respectivement </w:t>
      </w:r>
      <m:oMath>
        <m:sSubSup>
          <m:sSubSupPr/>
          <m:e>
            <m:bar>
              <m:barPr/>
              <m:e>
                <m:r>
                  <m:rPr>
                    <m:sty m:val="i"/>
                  </m:rPr>
                  <m:t>E</m:t>
                </m:r>
              </m:e>
            </m:bar>
          </m:e>
          <m:sub>
            <m:r>
              <m:rPr>
                <m:sty m:val="i"/>
              </m:rPr>
              <m:t>θ</m:t>
            </m:r>
          </m:sub>
          <m:sup>
            <m:r>
              <m:rPr>
                <m:sty m:val="p"/>
              </m:rPr>
              <m:t>0</m:t>
            </m:r>
          </m:sup>
        </m:sSubSup>
      </m:oMath>
      <w:r>
        <w:rPr>
          <w:rFonts w:eastAsia="Georgia" w:cs="Georgia" w:ascii="Georgia" w:hAnsi="Georgia"/>
        </w:rPr>
        <w:t xml:space="preserve"> ) l'amplitude complexe de la composante radiale (respectivement orthoradiale) du champ électrique, en </w:t>
      </w:r>
      <m:oMath>
        <m:r>
          <m:rPr>
            <m:sty m:val="i"/>
          </m:rPr>
          <m:t>z</m:t>
        </m:r>
        <m:r>
          <m:rPr>
            <m:sty m:val="p"/>
          </m:rPr>
          <m:t>=</m:t>
        </m:r>
        <m:r>
          <m:rPr>
            <m:sty m:val="p"/>
          </m:rPr>
          <m:t>0</m:t>
        </m:r>
      </m:oMath>
      <w:r>
        <w:rPr>
          <w:rFonts w:eastAsia="Georgia" w:cs="Georgia" w:ascii="Georgia" w:hAnsi="Georgia"/>
        </w:rPr>
        <w:t xml:space="preserve"> et à </w:t>
      </w:r>
      <m:oMath>
        <m:r>
          <m:rPr>
            <m:sty m:val="i"/>
          </m:rPr>
          <m:t>t</m:t>
        </m:r>
        <m:r>
          <m:rPr>
            <m:sty m:val="p"/>
          </m:rPr>
          <m:t>=</m:t>
        </m:r>
        <m:r>
          <m:rPr>
            <m:sty m:val="p"/>
          </m:rPr>
          <m:t>0</m:t>
        </m:r>
      </m:oMath>
      <w:r>
        <w:rPr/>
        <w:t xml:space="preserve">.</w:t>
      </w:r>
      <w:r>
        <w:rPr/>
        <w:br w:type="textWrapping"/>
      </w:r>
      <w:r>
        <w:rPr>
          <w:rFonts w:eastAsia="Georgia" w:cs="Georgia" w:ascii="Georgia" w:hAnsi="Georgia"/>
        </w:rPr>
        <w:t xml:space="preserve">Nous rappelons que les molécules ne peuvent acquérir de polarisation que selon leur axe </w:t>
      </w:r>
      <m:oMath>
        <m:acc>
          <m:accPr>
            <m:chr m:val="⃗"/>
          </m:accPr>
          <m:e>
            <m:r>
              <m:rPr>
                <m:sty m:val="i"/>
              </m:rPr>
              <m:t>n</m:t>
            </m:r>
          </m:e>
        </m:acc>
      </m:oMath>
      <w:r>
        <w:rPr/>
        <w:t xml:space="preserve">.</w:t>
      </w:r>
      <w:r>
        <w:rPr/>
        <w:br w:type="textWrapping"/>
      </w:r>
      <w:r>
        <w:rPr/>
        <w:t xml:space="preserve">24. Exprimer </w:t>
      </w:r>
      <m:oMath>
        <m:f>
          <m:fPr>
            <m:ctrlPr>
              <w:rPr>
                <w:rFonts w:ascii="Cambria Math" w:hAnsi="Cambria Math"/>
              </w:rPr>
            </m:ctrlPr>
          </m:fPr>
          <m:num>
            <m:r>
              <m:rPr>
                <m:sty m:val="p"/>
              </m:rPr>
              <m:t>d</m:t>
            </m:r>
            <m:sSub>
              <m:sSubPr/>
              <m:e>
                <m:acc>
                  <m:accPr>
                    <m:chr m:val="⃗"/>
                  </m:accPr>
                  <m:e>
                    <m:r>
                      <m:rPr>
                        <m:sty m:val="i"/>
                      </m:rPr>
                      <m:t>e</m:t>
                    </m:r>
                  </m:e>
                </m:acc>
              </m:e>
              <m:sub>
                <m:r>
                  <m:rPr>
                    <m:sty m:val="i"/>
                  </m:rPr>
                  <m:t>r</m:t>
                </m:r>
              </m:sub>
            </m:sSub>
          </m:num>
          <m:den>
            <m:r>
              <m:rPr>
                <m:nor/>
              </m:rPr>
              <m:t xml:space="preserve"> </m:t>
            </m:r>
            <m:r>
              <m:rPr>
                <m:sty m:val="p"/>
              </m:rPr>
              <m:t>d</m:t>
            </m:r>
            <m:r>
              <m:rPr>
                <m:sty m:val="i"/>
              </m:rPr>
              <m:t>z</m:t>
            </m:r>
          </m:den>
        </m:f>
      </m:oMath>
      <w:r>
        <w:rPr/>
        <w:t xml:space="preserve"> et </w:t>
      </w:r>
      <m:oMath>
        <m:f>
          <m:fPr>
            <m:ctrlPr>
              <w:rPr>
                <w:rFonts w:ascii="Cambria Math" w:hAnsi="Cambria Math"/>
              </w:rPr>
            </m:ctrlPr>
          </m:fPr>
          <m:num>
            <m:r>
              <m:rPr>
                <m:sty m:val="p"/>
              </m:rPr>
              <m:t>d</m:t>
            </m:r>
            <m:sSub>
              <m:sSubPr/>
              <m:e>
                <m:acc>
                  <m:accPr>
                    <m:chr m:val="⃗"/>
                  </m:accPr>
                  <m:e>
                    <m:r>
                      <m:rPr>
                        <m:sty m:val="i"/>
                      </m:rPr>
                      <m:t>e</m:t>
                    </m:r>
                  </m:e>
                </m:acc>
              </m:e>
              <m:sub>
                <m:r>
                  <m:rPr>
                    <m:sty m:val="i"/>
                  </m:rPr>
                  <m:t>θ</m:t>
                </m:r>
              </m:sub>
            </m:sSub>
          </m:num>
          <m:den>
            <m:r>
              <m:rPr>
                <m:sty m:val="p"/>
              </m:rPr>
              <m:t>d</m:t>
            </m:r>
            <m:r>
              <m:rPr>
                <m:sty m:val="i"/>
              </m:rPr>
              <m:t>z</m:t>
            </m:r>
          </m:den>
        </m:f>
      </m:oMath>
      <w:r>
        <w:rPr>
          <w:rFonts w:eastAsia="Georgia" w:cs="Georgia" w:ascii="Georgia" w:hAnsi="Georgia"/>
        </w:rPr>
        <w:t xml:space="preserve">, dans la base cylindrique, en faisant apparaître </w:t>
      </w:r>
      <m:oMath>
        <m:r>
          <m:rPr>
            <m:sty m:val="i"/>
          </m:rPr>
          <m:t>q</m:t>
        </m:r>
      </m:oMath>
      <w:r>
        <w:rPr/>
        <w:t xml:space="preserve">.</w:t>
      </w:r>
      <w:r>
        <w:rPr/>
        <w:br w:type="textWrapping"/>
      </w:r>
      <w:r>
        <w:rPr>
          <w:rFonts w:eastAsia="Georgia" w:cs="Georgia" w:ascii="Georgia" w:hAnsi="Georgia"/>
        </w:rPr>
        <w:t xml:space="preserve">25. En déduire une expression de </w:t>
      </w:r>
      <m:oMath>
        <m:f>
          <m:fPr>
            <m:ctrlPr>
              <w:rPr>
                <w:rFonts w:ascii="Cambria Math" w:hAnsi="Cambria Math"/>
              </w:rPr>
            </m:ctrlPr>
          </m:fPr>
          <m:num>
            <m:r>
              <m:rPr>
                <m:sty m:val="i"/>
              </m:rPr>
              <m:t>∂</m:t>
            </m:r>
            <m:acc>
              <m:accPr>
                <m:chr m:val="⃗"/>
              </m:accPr>
              <m:e>
                <m:r>
                  <m:rPr>
                    <m:sty m:val="i"/>
                  </m:rPr>
                  <m:t>E</m:t>
                </m:r>
              </m:e>
            </m:acc>
          </m:num>
          <m:den>
            <m:r>
              <m:rPr>
                <m:sty m:val="i"/>
              </m:rPr>
              <m:t>∂</m:t>
            </m:r>
            <m:r>
              <m:rPr>
                <m:sty m:val="i"/>
              </m:rPr>
              <m:t>z</m:t>
            </m:r>
          </m:den>
        </m:f>
      </m:oMath>
      <w:r>
        <w:rPr/>
        <w:t xml:space="preserve"> (on utilisera la notation complexe).</w:t>
      </w:r>
      <w:r>
        <w:rPr/>
        <w:br w:type="textWrapping"/>
      </w:r>
      <w:r>
        <w:rPr/>
        <w:t xml:space="preserve">26. Exprimer les vecteurs polarisation </w:t>
      </w:r>
      <m:oMath>
        <m:acc>
          <m:accPr>
            <m:chr m:val="⃗"/>
          </m:accPr>
          <m:e>
            <m:r>
              <m:rPr>
                <m:sty m:val="i"/>
              </m:rPr>
              <m:t>P</m:t>
            </m:r>
          </m:e>
        </m:acc>
      </m:oMath>
      <w:r>
        <w:rPr>
          <w:rFonts w:eastAsia="Georgia" w:cs="Georgia" w:ascii="Georgia" w:hAnsi="Georgia"/>
        </w:rPr>
        <w:t xml:space="preserve"> et déplacement </w:t>
      </w:r>
      <m:oMath>
        <m:acc>
          <m:accPr>
            <m:chr m:val="⃗"/>
          </m:accPr>
          <m:e>
            <m:r>
              <m:rPr>
                <m:sty m:val="i"/>
              </m:rPr>
              <m:t>D</m:t>
            </m:r>
          </m:e>
        </m:acc>
      </m:oMath>
      <w:r>
        <w:rPr>
          <w:rFonts w:eastAsia="Georgia" w:cs="Georgia" w:ascii="Georgia" w:hAnsi="Georgia"/>
        </w:rPr>
        <w:t xml:space="preserve">, dans la base cylindrique. Justifier que la composante orthoradiale (resp. radiale) du champ électrique correspond à une onde ordinaire (resp. extraordinaire).</w:t>
      </w:r>
    </w:p>
    <w:p>
      <w:pPr>
        <w:spacing w:after="220" w:lineRule="auto"/>
      </w:pPr>
      <w:r>
        <w:rPr>
          <w:rFonts w:eastAsia="Georgia" w:cs="Georgia" w:ascii="Georgia" w:hAnsi="Georgia"/>
        </w:rPr>
        <w:t xml:space="preserve">Nous considérons une tranche du milieu cholestérique d'épaisseur </w:t>
      </w:r>
      <m:oMath>
        <m:r>
          <m:rPr>
            <m:sty m:val="i"/>
          </m:rPr>
          <m:t>δ</m:t>
        </m:r>
        <m:r>
          <m:rPr>
            <m:sty m:val="i"/>
          </m:rPr>
          <m:t>z</m:t>
        </m:r>
      </m:oMath>
      <w:r>
        <w:rPr>
          <w:rFonts w:eastAsia="Georgia" w:cs="Georgia" w:ascii="Georgia" w:hAnsi="Georgia"/>
        </w:rPr>
        <w:t xml:space="preserve"> suffisamment faible pour pouvoir supposer que l'onde s'y propage comme dans un milieu de directeur uniforme (hypothèse H).</w:t>
      </w:r>
      <w:r>
        <w:rPr/>
        <w:br w:type="textWrapping"/>
      </w:r>
      <w:r>
        <w:rPr>
          <w:rFonts w:eastAsia="Georgia" w:cs="Georgia" w:ascii="Georgia" w:hAnsi="Georgia"/>
        </w:rPr>
        <w:t xml:space="preserve">27. Donner les célérités des ondes ordinaire ( </w:t>
      </w:r>
      <m:oMath>
        <m:sSub>
          <m:sSubPr/>
          <m:e>
            <m:r>
              <m:rPr>
                <m:sty m:val="i"/>
              </m:rPr>
              <m:t>c</m:t>
            </m:r>
          </m:e>
          <m:sub>
            <m:r>
              <m:rPr>
                <m:sty m:val="i"/>
              </m:rPr>
              <m:t>o</m:t>
            </m:r>
          </m:sub>
        </m:sSub>
      </m:oMath>
      <w:r>
        <w:rPr/>
        <w:t xml:space="preserve"> ) et extra-ordinaire ( </w:t>
      </w:r>
      <m:oMath>
        <m:sSub>
          <m:sSubPr/>
          <m:e>
            <m:r>
              <m:rPr>
                <m:sty m:val="i"/>
              </m:rPr>
              <m:t>c</m:t>
            </m:r>
          </m:e>
          <m:sub>
            <m:r>
              <m:rPr>
                <m:sty m:val="i"/>
              </m:rPr>
              <m:t>e</m:t>
            </m:r>
          </m:sub>
        </m:sSub>
      </m:oMath>
      <w:r>
        <w:rPr/>
        <w:t xml:space="preserve"> ) dans cette tranche.</w:t>
      </w:r>
      <w:r>
        <w:rPr/>
        <w:br w:type="textWrapping"/>
      </w:r>
      <w:r>
        <w:rPr>
          <w:rFonts w:eastAsia="Georgia" w:cs="Georgia" w:ascii="Georgia" w:hAnsi="Georgia"/>
        </w:rPr>
        <w:t xml:space="preserve">28. Préciser les nombres d'onde </w:t>
      </w:r>
      <m:oMath>
        <m:sSub>
          <m:sSubPr/>
          <m:e>
            <m:r>
              <m:rPr>
                <m:sty m:val="i"/>
              </m:rPr>
              <m:t>k</m:t>
            </m:r>
          </m:e>
          <m:sub>
            <m:r>
              <m:rPr>
                <m:sty m:val="i"/>
              </m:rPr>
              <m:t>o</m:t>
            </m:r>
          </m:sub>
        </m:sSub>
      </m:oMath>
      <w:r>
        <w:rPr/>
        <w:t xml:space="preserve"> et </w:t>
      </w:r>
      <m:oMath>
        <m:sSub>
          <m:sSubPr/>
          <m:e>
            <m:r>
              <m:rPr>
                <m:sty m:val="i"/>
              </m:rPr>
              <m:t>k</m:t>
            </m:r>
          </m:e>
          <m:sub>
            <m:r>
              <m:rPr>
                <m:sty m:val="i"/>
              </m:rPr>
              <m:t>e</m:t>
            </m:r>
          </m:sub>
        </m:sSub>
      </m:oMath>
      <w:r>
        <w:rPr>
          <w:rFonts w:eastAsia="Georgia" w:cs="Georgia" w:ascii="Georgia" w:hAnsi="Georgia"/>
        </w:rPr>
        <w:t xml:space="preserve"> associés à ces ondes. À quelle condition sur </w:t>
      </w:r>
      <m:oMath>
        <m:sSub>
          <m:sSubPr/>
          <m:e>
            <m:r>
              <m:rPr>
                <m:sty m:val="i"/>
              </m:rPr>
              <m:t>k</m:t>
            </m:r>
          </m:e>
          <m:sub>
            <m:r>
              <m:rPr>
                <m:sty m:val="i"/>
              </m:rPr>
              <m:t>e</m:t>
            </m:r>
          </m:sub>
        </m:sSub>
      </m:oMath>
      <w:r>
        <w:rPr/>
        <w:t xml:space="preserve"> (ou </w:t>
      </w:r>
      <m:oMath>
        <m:sSub>
          <m:sSubPr/>
          <m:e>
            <m:r>
              <m:rPr>
                <m:sty m:val="i"/>
              </m:rPr>
              <m:t>k</m:t>
            </m:r>
          </m:e>
          <m:sub>
            <m:r>
              <m:rPr>
                <m:sty m:val="i"/>
              </m:rPr>
              <m:t>o</m:t>
            </m:r>
          </m:sub>
        </m:sSub>
      </m:oMath>
      <w:r>
        <w:rPr/>
        <w:t xml:space="preserve"> ) et </w:t>
      </w:r>
      <m:oMath>
        <m:r>
          <m:rPr>
            <m:sty m:val="i"/>
          </m:rPr>
          <m:t>q</m:t>
        </m:r>
      </m:oMath>
      <w:r>
        <w:rPr>
          <w:rFonts w:eastAsia="Georgia" w:cs="Georgia" w:ascii="Georgia" w:hAnsi="Georgia"/>
        </w:rPr>
        <w:t xml:space="preserve"> l'hypothèse (H) est-elle vérifiée?</w:t>
      </w:r>
      <w:r>
        <w:rPr/>
        <w:br w:type="textWrapping"/>
      </w:r>
      <w:r>
        <w:rPr/>
        <w:t xml:space="preserve">29. Donner, en notation complexe, l'expression du champ </w:t>
      </w:r>
      <m:oMath>
        <m:acc>
          <m:accPr>
            <m:chr m:val="⃗"/>
          </m:accPr>
          <m:e>
            <m:r>
              <m:rPr>
                <m:sty m:val="i"/>
              </m:rPr>
              <m:t>E</m:t>
            </m:r>
          </m:e>
        </m:acc>
      </m:oMath>
      <w:r>
        <w:rPr/>
        <w:t xml:space="preserve"> en fonction de </w:t>
      </w:r>
      <m:oMath>
        <m:sSub>
          <m:sSubPr/>
          <m:e>
            <m:r>
              <m:rPr>
                <m:sty m:val="i"/>
              </m:rPr>
              <m:t>k</m:t>
            </m:r>
          </m:e>
          <m:sub>
            <m:r>
              <m:rPr>
                <m:sty m:val="i"/>
              </m:rPr>
              <m:t>o</m:t>
            </m:r>
          </m:sub>
        </m:sSub>
      </m:oMath>
      <w:r>
        <w:rPr/>
        <w:t xml:space="preserve"> et </w:t>
      </w:r>
      <m:oMath>
        <m:sSub>
          <m:sSubPr/>
          <m:e>
            <m:r>
              <m:rPr>
                <m:sty m:val="i"/>
              </m:rPr>
              <m:t>k</m:t>
            </m:r>
          </m:e>
          <m:sub>
            <m:r>
              <m:rPr>
                <m:sty m:val="i"/>
              </m:rPr>
              <m:t>e</m:t>
            </m:r>
          </m:sub>
        </m:sSub>
      </m:oMath>
      <w:r>
        <w:rPr>
          <w:rFonts w:eastAsia="Georgia" w:cs="Georgia" w:ascii="Georgia" w:hAnsi="Georgia"/>
        </w:rPr>
        <w:t xml:space="preserve">, dans la tranche d'épaisseur </w:t>
      </w:r>
      <m:oMath>
        <m:r>
          <m:rPr>
            <m:sty m:val="i"/>
          </m:rPr>
          <m:t>δ</m:t>
        </m:r>
        <m:r>
          <m:rPr>
            <m:sty m:val="i"/>
          </m:rPr>
          <m:t>z</m:t>
        </m:r>
      </m:oMath>
      <w:r>
        <w:rPr/>
        <w:t xml:space="preserve">.</w:t>
      </w:r>
      <w:r>
        <w:rPr/>
        <w:br w:type="textWrapping"/>
      </w:r>
      <w:r>
        <w:rPr>
          <w:rFonts w:eastAsia="Georgia" w:cs="Georgia" w:ascii="Georgia" w:hAnsi="Georgia"/>
        </w:rPr>
        <w:t xml:space="preserve">30. En déduire une seconde expression de </w:t>
      </w:r>
      <m:oMath>
        <m:f>
          <m:fPr>
            <m:ctrlPr>
              <w:rPr>
                <w:rFonts w:ascii="Cambria Math" w:hAnsi="Cambria Math"/>
              </w:rPr>
            </m:ctrlPr>
          </m:fPr>
          <m:num>
            <m:r>
              <m:rPr>
                <m:sty m:val="i"/>
              </m:rPr>
              <m:t>∂</m:t>
            </m:r>
            <m:acc>
              <m:accPr>
                <m:chr m:val="⃗"/>
              </m:accPr>
              <m:e>
                <m:r>
                  <m:rPr>
                    <m:sty m:val="i"/>
                  </m:rPr>
                  <m:t>E</m:t>
                </m:r>
              </m:e>
            </m:acc>
          </m:num>
          <m:den>
            <m:r>
              <m:rPr>
                <m:sty m:val="i"/>
              </m:rPr>
              <m:t>∂</m:t>
            </m:r>
            <m:r>
              <m:rPr>
                <m:sty m:val="i"/>
              </m:rPr>
              <m:t>z</m:t>
            </m:r>
          </m:den>
        </m:f>
      </m:oMath>
      <w:r>
        <w:rPr>
          <w:rFonts w:eastAsia="Georgia" w:cs="Georgia" w:ascii="Georgia" w:hAnsi="Georgia"/>
        </w:rPr>
        <w:t xml:space="preserve"> (on donnera le résultat sous forme complexe).</w:t>
      </w:r>
      <w:r>
        <w:rPr/>
        <w:br w:type="textWrapping"/>
      </w:r>
      <w:r>
        <w:rPr>
          <w:rFonts w:eastAsia="Georgia" w:cs="Georgia" w:ascii="Georgia" w:hAnsi="Georgia"/>
        </w:rPr>
        <w:t xml:space="preserve">31. Établir le système d'équations linéaires satisfait par les amplitudes </w:t>
      </w:r>
      <m:oMath>
        <m:sSubSup>
          <m:sSubSupPr/>
          <m:e>
            <m:bar>
              <m:barPr/>
              <m:e>
                <m:r>
                  <m:rPr>
                    <m:sty m:val="i"/>
                  </m:rPr>
                  <m:t>E</m:t>
                </m:r>
              </m:e>
            </m:bar>
          </m:e>
          <m:sub>
            <m:r>
              <m:rPr>
                <m:sty m:val="i"/>
              </m:rPr>
              <m:t>r</m:t>
            </m:r>
          </m:sub>
          <m:sup>
            <m:r>
              <m:rPr>
                <m:sty m:val="p"/>
              </m:rPr>
              <m:t>0</m:t>
            </m:r>
          </m:sup>
        </m:sSubSup>
      </m:oMath>
      <w:r>
        <w:rPr/>
        <w:t xml:space="preserve"> et </w:t>
      </w:r>
      <m:oMath>
        <m:sSubSup>
          <m:sSubSupPr/>
          <m:e>
            <m:bar>
              <m:barPr/>
              <m:e>
                <m:r>
                  <m:rPr>
                    <m:sty m:val="i"/>
                  </m:rPr>
                  <m:t>E</m:t>
                </m:r>
              </m:e>
            </m:bar>
          </m:e>
          <m:sub>
            <m:r>
              <m:rPr>
                <m:sty m:val="i"/>
              </m:rPr>
              <m:t>θ</m:t>
            </m:r>
          </m:sub>
          <m:sup>
            <m:r>
              <m:rPr>
                <m:sty m:val="p"/>
              </m:rPr>
              <m:t>0</m:t>
            </m:r>
          </m:sup>
        </m:sSubSup>
      </m:oMath>
      <w:r>
        <w:rPr/>
        <w:t xml:space="preserve">.</w:t>
      </w:r>
      <w:r>
        <w:rPr/>
        <w:br w:type="textWrapping"/>
      </w:r>
      <w:r>
        <w:rPr>
          <w:rFonts w:eastAsia="Georgia" w:cs="Georgia" w:ascii="Georgia" w:hAnsi="Georgia"/>
        </w:rPr>
        <w:t xml:space="preserve">32. Établir que </w:t>
      </w:r>
      <m:oMath>
        <m:r>
          <m:rPr>
            <m:sty m:val="i"/>
          </m:rPr>
          <m:t>K</m:t>
        </m:r>
      </m:oMath>
      <w:r>
        <w:rPr>
          <w:rFonts w:eastAsia="Georgia" w:cs="Georgia" w:ascii="Georgia" w:hAnsi="Georgia"/>
        </w:rPr>
        <w:t xml:space="preserve"> vérifie une équation de la forme : </w:t>
      </w:r>
      <m:oMath>
        <m:r>
          <m:rPr>
            <m:sty m:val="i"/>
          </m:rPr>
          <m:t>f</m:t>
        </m:r>
        <m:r>
          <m:rPr>
            <m:sty m:val="p"/>
          </m:rPr>
          <m:t>(</m:t>
        </m:r>
        <m:r>
          <m:rPr>
            <m:sty m:val="i"/>
          </m:rPr>
          <m:t>K</m:t>
        </m:r>
        <m:r>
          <m:rPr>
            <m:sty m:val="p"/>
          </m:rPr>
          <m:t>)</m:t>
        </m:r>
        <m:r>
          <m:rPr>
            <m:sty m:val="p"/>
          </m:rPr>
          <m:t>=</m:t>
        </m:r>
        <m:sSup>
          <m:sSupPr/>
          <m:e>
            <m:r>
              <m:rPr>
                <m:sty m:val="i"/>
              </m:rPr>
              <m:t>q</m:t>
            </m:r>
          </m:e>
          <m:sup>
            <m:r>
              <m:rPr>
                <m:sty m:val="p"/>
              </m:rPr>
              <m:t>2</m:t>
            </m:r>
          </m:sup>
        </m:sSup>
      </m:oMath>
      <w:r>
        <w:rPr>
          <w:rFonts w:eastAsia="Georgia" w:cs="Georgia" w:ascii="Georgia" w:hAnsi="Georgia"/>
        </w:rPr>
        <w:t xml:space="preserve">, où </w:t>
      </w:r>
      <m:oMath>
        <m:r>
          <m:rPr>
            <m:sty m:val="i"/>
          </m:rPr>
          <m:t>f</m:t>
        </m:r>
      </m:oMath>
      <w:r>
        <w:rPr>
          <w:rFonts w:eastAsia="Georgia" w:cs="Georgia" w:ascii="Georgia" w:hAnsi="Georgia"/>
        </w:rPr>
        <w:t xml:space="preserve"> est une fonction à définir.</w:t>
      </w:r>
      <w:r>
        <w:rPr/>
        <w:br w:type="textWrapping"/>
      </w:r>
      <w:r>
        <w:rPr>
          <w:rFonts w:eastAsia="Georgia" w:cs="Georgia" w:ascii="Georgia" w:hAnsi="Georgia"/>
        </w:rPr>
        <w:t xml:space="preserve">33. Représenter graphiquement la fonction </w:t>
      </w:r>
      <m:oMath>
        <m:r>
          <m:rPr>
            <m:sty m:val="i"/>
          </m:rPr>
          <m:t>f</m:t>
        </m:r>
      </m:oMath>
      <w:r>
        <w:rPr>
          <w:rFonts w:eastAsia="Georgia" w:cs="Georgia" w:ascii="Georgia" w:hAnsi="Georgia"/>
        </w:rPr>
        <w:t xml:space="preserve">. En déduire que l'équation précédente admet deux solutions </w:t>
      </w:r>
      <m:oMath>
        <m:sSub>
          <m:sSubPr/>
          <m:e>
            <m:r>
              <m:rPr>
                <m:sty m:val="i"/>
              </m:rPr>
              <m:t>K</m:t>
            </m:r>
          </m:e>
          <m:sub>
            <m:r>
              <m:rPr>
                <m:sty m:val="p"/>
              </m:rPr>
              <m:t>+</m:t>
            </m:r>
          </m:sub>
        </m:sSub>
      </m:oMath>
      <w:r>
        <w:rPr/>
        <w:t xml:space="preserve">et </w:t>
      </w:r>
      <m:oMath>
        <m:sSub>
          <m:sSubPr/>
          <m:e>
            <m:r>
              <m:rPr>
                <m:sty m:val="i"/>
              </m:rPr>
              <m:t>K</m:t>
            </m:r>
          </m:e>
          <m:sub>
            <m:r>
              <m:rPr>
                <m:sty m:val="p"/>
              </m:rPr>
              <m:t>−</m:t>
            </m:r>
          </m:sub>
        </m:sSub>
        <m:d>
          <m:dPr>
            <m:begChr m:val="("/>
            <m:endChr m:val=")"/>
            <m:ctrlPr>
              <w:rPr>
                <w:rFonts w:ascii="Cambria Math" w:hAnsi="Cambria Math"/>
              </w:rPr>
            </m:ctrlPr>
          </m:dPr>
          <m:e>
            <m:r>
              <m:rPr>
                <m:sty m:val="p"/>
              </m:rPr>
              <m:t>avec</m:t>
            </m:r>
            <m:sSub>
              <m:sSubPr/>
              <m:e>
                <m:r>
                  <m:rPr>
                    <m:sty m:val="i"/>
                  </m:rPr>
                  <m:t>K</m:t>
                </m:r>
              </m:e>
              <m:sub>
                <m:r>
                  <m:rPr>
                    <m:sty m:val="p"/>
                  </m:rPr>
                  <m:t>+</m:t>
                </m:r>
              </m:sub>
            </m:sSub>
            <m:r>
              <m:rPr>
                <m:sty m:val="p"/>
              </m:rPr>
              <m:t>&gt;</m:t>
            </m:r>
            <m:sSub>
              <m:sSubPr/>
              <m:e>
                <m:r>
                  <m:rPr>
                    <m:sty m:val="i"/>
                  </m:rPr>
                  <m:t>K</m:t>
                </m:r>
              </m:e>
              <m:sub>
                <m:r>
                  <m:rPr>
                    <m:sty m:val="p"/>
                  </m:rPr>
                  <m:t>−</m:t>
                </m:r>
              </m:sub>
            </m:sSub>
          </m:e>
        </m:d>
      </m:oMath>
      <w:r>
        <w:rPr/>
        <w:t xml:space="preserve">.</w:t>
      </w:r>
      <w:r>
        <w:rPr/>
        <w:br w:type="textWrapping"/>
      </w:r>
      <w:r>
        <w:rPr/>
        <w:t xml:space="preserve">34. Justifer que les solutions </w:t>
      </w:r>
      <m:oMath>
        <m:sSub>
          <m:sSubPr/>
          <m:e>
            <m:r>
              <m:rPr>
                <m:sty m:val="i"/>
              </m:rPr>
              <m:t>K</m:t>
            </m:r>
          </m:e>
          <m:sub>
            <m:r>
              <m:rPr>
                <m:sty m:val="p"/>
              </m:rPr>
              <m:t>+</m:t>
            </m:r>
          </m:sub>
        </m:sSub>
      </m:oMath>
      <w:r>
        <w:rPr/>
        <w:t xml:space="preserve">et </w:t>
      </w:r>
      <m:oMath>
        <m:sSub>
          <m:sSubPr/>
          <m:e>
            <m:r>
              <m:rPr>
                <m:sty m:val="i"/>
              </m:rPr>
              <m:t>K</m:t>
            </m:r>
          </m:e>
          <m:sub>
            <m:r>
              <m:rPr>
                <m:sty m:val="p"/>
              </m:rPr>
              <m:t>−</m:t>
            </m:r>
          </m:sub>
        </m:sSub>
      </m:oMath>
      <w:r>
        <w:rPr>
          <w:rFonts w:eastAsia="Georgia" w:cs="Georgia" w:ascii="Georgia" w:hAnsi="Georgia"/>
        </w:rPr>
        <w:t xml:space="preserve">sont respectivement minorée et majorée. Commenter cette bande interdite.</w:t>
      </w:r>
    </w:p>
    <w:p>
      <w:pPr>
        <w:spacing w:line="271" w:before="330" w:lineRule="auto"/>
      </w:pPr>
      <w:r>
        <w:rPr>
          <w:b/>
          <w:sz w:val="42"/>
        </w:rPr>
        <w:t xml:space="preserve">Seconde partie : Chimie</w:t>
      </w:r>
    </w:p>
    <w:p>
      <w:pPr>
        <w:spacing w:line="271" w:before="330" w:lineRule="auto"/>
      </w:pPr>
      <w:r>
        <w:rPr>
          <w:rFonts w:eastAsia="Georgia" w:cs="Georgia" w:ascii="Georgia" w:hAnsi="Georgia"/>
          <w:b/>
          <w:sz w:val="42"/>
        </w:rPr>
        <w:t xml:space="preserve">Étude de cristaux liquides conducteurs ioniques utilisés comme membrane électrolyte</w:t>
      </w:r>
    </w:p>
    <w:p>
      <w:pPr>
        <w:spacing w:after="220" w:lineRule="auto"/>
      </w:pPr>
      <w:r>
        <w:rPr>
          <w:rFonts w:eastAsia="Georgia" w:cs="Georgia" w:ascii="Georgia" w:hAnsi="Georgia"/>
        </w:rPr>
        <w:t xml:space="preserve">Cette partie propose l'étude du développement d'une membrane électrolyte constituée d'un cristal liquide ionique, visant à améliorer les performances des piles au lithium communément utilisées de nos jours. Dans les piles actuelles, l'électrolyte qui sépare les deux électrodes est en fait une membrane dont le rôle est multiple. Elle doit d'une part assurer le transport de charges positives d'une électrode à l'autre, sans permettre pour autant la circulation des électrons qui pourraient court-circuiter la pile. D'autre part, elle doit empêcher les espèces chimiques réagissant dans une moitié de la cellule (par exemple, le dioxygène, dans certaines piles à combustible), de traverser et atteindre l'autre partie de la pile (phénomène de crossover). Enfin, cette membrane doit présenter la meilleure conductivité possible. Les cristaux liquides ioniques sont un exemple intéressant de matériau "mou" (i.e. présentant à la fois des propriétés de rigidité d'un solide, et la viscosité d'un liquide), dont les caractéristiques chimiques, de transport de charge, de conditions d'utilisation (température) et de mise en oeuvre (fabrication, par des procédés industriels, de membranes dont l'épaisseur typique est de </w:t>
      </w:r>
      <m:oMath>
        <m:r>
          <m:rPr>
            <m:sty m:val="p"/>
          </m:rPr>
          <m:t>50</m:t>
        </m:r>
        <m:r>
          <m:rPr>
            <m:sty m:val="i"/>
          </m:rPr>
          <m:t>μ</m:t>
        </m:r>
        <m:r>
          <m:rPr>
            <m:nor/>
          </m:rPr>
          <m:t xml:space="preserve"> </m:t>
        </m:r>
        <m:r>
          <m:rPr>
            <m:sty m:val="p"/>
          </m:rPr>
          <m:t>m</m:t>
        </m:r>
      </m:oMath>
      <w:r>
        <w:rPr>
          <w:rFonts w:eastAsia="Georgia" w:cs="Georgia" w:ascii="Georgia" w:hAnsi="Georgia"/>
        </w:rPr>
        <w:t xml:space="preserve"> ) en font des candidats crédibles pour une utilisation dans les dernières générations de piles.</w:t>
      </w:r>
    </w:p>
    <w:p>
      <w:pPr>
        <w:spacing w:line="271" w:before="330" w:lineRule="auto"/>
      </w:pPr>
      <w:r>
        <w:rPr>
          <w:rFonts w:eastAsia="Georgia" w:cs="Georgia" w:ascii="Georgia" w:hAnsi="Georgia"/>
          <w:b/>
          <w:sz w:val="42"/>
        </w:rPr>
        <w:t xml:space="preserve">V Étude d'un cristal liquide ionique.</w:t>
      </w:r>
    </w:p>
    <w:p>
      <w:pPr>
        <w:spacing w:after="220" w:lineRule="auto"/>
      </w:pPr>
      <w:r>
        <w:rPr>
          <w:rFonts w:eastAsia="Georgia" w:cs="Georgia" w:ascii="Georgia" w:hAnsi="Georgia"/>
        </w:rPr>
        <w:t xml:space="preserve">Un cristal liquide est un état de la matière qui combine des propriétés d'un liquide conventionnel et celles d'un solide cristallisé. Un cristal liquide ionique est un système hybride composé d'une matrice organique (cristal liquide) dans laquelle est dissout un sel. Nous allons étudier dans un premier temps quelques aspects de la synthèse de la partie organique de ce système.</w:t>
      </w:r>
    </w:p>
    <w:p>
      <w:pPr>
        <w:spacing w:line="271" w:before="330" w:lineRule="auto"/>
      </w:pPr>
      <w:r>
        <w:rPr>
          <w:rFonts w:eastAsia="Georgia" w:cs="Georgia" w:ascii="Georgia" w:hAnsi="Georgia"/>
          <w:b/>
          <w:sz w:val="42"/>
        </w:rPr>
        <w:t xml:space="preserve">V.A Synthèse.</w:t>
      </w:r>
    </w:p>
    <w:p>
      <w:pPr>
        <w:spacing w:lineRule="auto"/>
        <w:jc w:val="center"/>
      </w:pPr>
      <w:r>
        <w:rPr/>
        <w:drawing>
          <wp:inline distB="0" distL="0" distR="0" distT="0">
            <wp:extent cx="5486400" cy="1331151"/>
            <wp:effectExtent b="0" l="0" r="0" t="0"/>
            <wp:docPr id="4" name="image-e65eba0293ead8c7567e17d09bd07ed343a07958.jpg"/>
            <a:graphic>
              <a:graphicData uri="http://schemas.openxmlformats.org/drawingml/2006/picture">
                <pic:pic>
                  <pic:nvPicPr>
                    <pic:cNvPr id="4" name="image-e65eba0293ead8c7567e17d09bd07ed343a07958.jpg" descr=""/>
                    <pic:cNvPicPr/>
                  </pic:nvPicPr>
                  <pic:blipFill>
                    <a:blip r:embed="rId8" cstate="print"/>
                    <a:srcRect b="0" l="0" r="0" t="0"/>
                    <a:stretch>
                      <a:fillRect/>
                    </a:stretch>
                  </pic:blipFill>
                  <pic:spPr>
                    <a:xfrm>
                      <a:off x="0" y="0"/>
                      <a:ext cx="5486400" cy="1331151"/>
                    </a:xfrm>
                    <a:prstGeom prst="rect"/>
                  </pic:spPr>
                </pic:pic>
              </a:graphicData>
            </a:graphic>
          </wp:inline>
        </w:drawing>
      </w:r>
    </w:p>
    <w:p>
      <w:pPr>
        <w:spacing w:lineRule="auto"/>
      </w:pPr>
      <w:r>
        <w:rPr>
          <w:rFonts w:eastAsia="Georgia" w:cs="Georgia" w:ascii="Georgia" w:hAnsi="Georgia"/>
        </w:rPr>
        <w:t xml:space="preserve">Figure 4 - Synthèse du cristal liquide </w:t>
      </w:r>
      <m:oMath>
        <m:sSub>
          <m:sSubPr/>
          <m:e>
            <m:r>
              <m:rPr>
                <m:sty m:val="b"/>
              </m:rPr>
              <m:t>P</m:t>
            </m:r>
          </m:e>
          <m:sub>
            <m:r>
              <m:rPr>
                <m:sty m:val="p"/>
              </m:rPr>
              <m:t>5</m:t>
            </m:r>
          </m:sub>
        </m:sSub>
      </m:oMath>
      <w:r>
        <w:rPr>
          <w:rFonts w:eastAsia="Georgia" w:cs="Georgia" w:ascii="Georgia" w:hAnsi="Georgia"/>
        </w:rPr>
        <w:t xml:space="preserve"> : étape 1.</w:t>
      </w:r>
    </w:p>
    <w:p>
      <w:pPr>
        <w:numPr>
          <w:ilvl w:val="0"/>
          <w:numId w:val="7"/>
        </w:numPr>
        <w:spacing w:lineRule="auto"/>
      </w:pPr>
      <w:r>
        <w:rPr>
          <w:rFonts w:eastAsia="Georgia" w:cs="Georgia" w:ascii="Georgia" w:hAnsi="Georgia"/>
        </w:rPr>
        <w:t xml:space="preserve">Lors de la première étape de la synthèse d'un cristal liquide </w:t>
      </w:r>
      <m:oMath>
        <m:r>
          <m:rPr>
            <m:sty m:val="b"/>
          </m:rPr>
          <m:t>P</m:t>
        </m:r>
      </m:oMath>
      <w:r>
        <w:rPr>
          <w:rFonts w:eastAsia="Georgia" w:cs="Georgia" w:ascii="Georgia" w:hAnsi="Georgia"/>
        </w:rPr>
        <w:t xml:space="preserve"> (figure (4)) un catalyseur par transfert de phase (CTP) est utilisé. Expliquer son rôle.</w:t>
      </w:r>
    </w:p>
    <w:p>
      <w:pPr>
        <w:numPr>
          <w:ilvl w:val="0"/>
          <w:numId w:val="7"/>
        </w:numPr>
        <w:spacing w:lineRule="auto"/>
      </w:pPr>
      <w:r>
        <w:rPr>
          <w:rFonts w:eastAsia="Georgia" w:cs="Georgia" w:ascii="Georgia" w:hAnsi="Georgia"/>
        </w:rPr>
        <w:t xml:space="preserve">Proposer un mécanisme de réaction pour cette première etape et déterminer la structure de </w:t>
      </w:r>
      <m:oMath>
        <m:sSub>
          <m:sSubPr/>
          <m:e>
            <m:r>
              <m:rPr>
                <m:sty m:val="b"/>
              </m:rPr>
              <m:t>P</m:t>
            </m:r>
          </m:e>
          <m:sub>
            <m:r>
              <m:rPr>
                <m:sty m:val="p"/>
              </m:rPr>
              <m:t>1</m:t>
            </m:r>
          </m:sub>
        </m:sSub>
      </m:oMath>
      <w:r>
        <w:rPr>
          <w:rFonts w:eastAsia="Georgia" w:cs="Georgia" w:ascii="Georgia" w:hAnsi="Georgia"/>
        </w:rPr>
        <w:t xml:space="preserve">. Le polyéthylène glycol (PEG) sert à solubiliser </w:t>
      </w:r>
      <m:oMath>
        <m:sSub>
          <m:sSubPr/>
          <m:e>
            <m:r>
              <m:rPr>
                <m:sty m:val="b"/>
              </m:rPr>
              <m:t>P</m:t>
            </m:r>
          </m:e>
          <m:sub>
            <m:r>
              <m:rPr>
                <m:sty m:val="p"/>
              </m:rPr>
              <m:t>1</m:t>
            </m:r>
          </m:sub>
        </m:sSub>
      </m:oMath>
      <w:r>
        <w:rPr/>
        <w:t xml:space="preserve">.</w:t>
      </w:r>
    </w:p>
    <w:p>
      <w:pPr>
        <w:spacing w:lineRule="auto"/>
        <w:jc w:val="center"/>
      </w:pPr>
      <w:r>
        <w:rPr/>
        <w:drawing>
          <wp:inline distB="0" distL="0" distR="0" distT="0">
            <wp:extent cx="5486400" cy="1131173"/>
            <wp:effectExtent b="0" l="0" r="0" t="0"/>
            <wp:docPr id="5" name="image-ce1f94f5bdaf3876d7ccde80d60df30cdb89994c.jpg"/>
            <a:graphic>
              <a:graphicData uri="http://schemas.openxmlformats.org/drawingml/2006/picture">
                <pic:pic>
                  <pic:nvPicPr>
                    <pic:cNvPr id="5" name="image-ce1f94f5bdaf3876d7ccde80d60df30cdb89994c.jpg" descr=""/>
                    <pic:cNvPicPr/>
                  </pic:nvPicPr>
                  <pic:blipFill>
                    <a:blip r:embed="rId9" cstate="print"/>
                    <a:srcRect b="0" l="0" r="0" t="0"/>
                    <a:stretch>
                      <a:fillRect/>
                    </a:stretch>
                  </pic:blipFill>
                  <pic:spPr>
                    <a:xfrm>
                      <a:off x="0" y="0"/>
                      <a:ext cx="5486400" cy="1131173"/>
                    </a:xfrm>
                    <a:prstGeom prst="rect"/>
                  </pic:spPr>
                </pic:pic>
              </a:graphicData>
            </a:graphic>
          </wp:inline>
        </w:drawing>
      </w:r>
    </w:p>
    <w:p>
      <w:pPr>
        <w:spacing w:lineRule="auto"/>
      </w:pPr>
      <w:r>
        <w:rPr>
          <w:rFonts w:eastAsia="Georgia" w:cs="Georgia" w:ascii="Georgia" w:hAnsi="Georgia"/>
        </w:rPr>
        <w:t xml:space="preserve">Figure 5 - Synthèse du cristal liquide </w:t>
      </w:r>
      <m:oMath>
        <m:sSub>
          <m:sSubPr/>
          <m:e>
            <m:r>
              <m:rPr>
                <m:sty m:val="b"/>
              </m:rPr>
              <m:t>P</m:t>
            </m:r>
          </m:e>
          <m:sub>
            <m:r>
              <m:rPr>
                <m:sty m:val="p"/>
              </m:rPr>
              <m:t>5</m:t>
            </m:r>
          </m:sub>
        </m:sSub>
      </m:oMath>
      <w:r>
        <w:rPr>
          <w:rFonts w:eastAsia="Georgia" w:cs="Georgia" w:ascii="Georgia" w:hAnsi="Georgia"/>
        </w:rPr>
        <w:t xml:space="preserve"> : étape 2. t-Bu </w:t>
      </w:r>
      <m:oMath>
        <m:r>
          <m:rPr>
            <m:sty m:val="p"/>
          </m:rPr>
          <m:t>=</m:t>
        </m:r>
      </m:oMath>
      <w:r>
        <w:rPr/>
        <w:t xml:space="preserve"> tert-butyl, </w:t>
      </w:r>
      <m:oMath>
        <m:r>
          <m:rPr>
            <m:sty m:val="p"/>
          </m:rPr>
          <m:t>PEG</m:t>
        </m:r>
        <m:r>
          <m:rPr>
            <m:sty m:val="p"/>
          </m:rPr>
          <m:t>=</m:t>
        </m:r>
      </m:oMath>
      <w:r>
        <w:rPr>
          <w:rFonts w:eastAsia="Georgia" w:cs="Georgia" w:ascii="Georgia" w:hAnsi="Georgia"/>
        </w:rPr>
        <w:t xml:space="preserve"> polyéthylène glycol.</w:t>
      </w:r>
    </w:p>
    <w:p>
      <w:pPr>
        <w:spacing w:after="220" w:lineRule="auto"/>
      </w:pPr>
      <w:r>
        <w:rPr>
          <w:rFonts w:eastAsia="Georgia" w:cs="Georgia" w:ascii="Georgia" w:hAnsi="Georgia"/>
        </w:rPr>
        <w:t xml:space="preserve">Lors de l'étape 2 (figure (5)), on introduit 1,15 grammes du composé </w:t>
      </w:r>
      <m:oMath>
        <m:sSub>
          <m:sSubPr/>
          <m:e>
            <m:r>
              <m:rPr>
                <m:sty m:val="b"/>
              </m:rPr>
              <m:t>P</m:t>
            </m:r>
          </m:e>
          <m:sub>
            <m:r>
              <m:rPr>
                <m:sty m:val="p"/>
              </m:rPr>
              <m:t>1</m:t>
            </m:r>
          </m:sub>
        </m:sSub>
      </m:oMath>
      <w:r>
        <w:rPr>
          <w:rFonts w:eastAsia="Georgia" w:cs="Georgia" w:ascii="Georgia" w:hAnsi="Georgia"/>
        </w:rPr>
        <w:t xml:space="preserve"> dans le milieu réactionnel. Le suivi de cette étape est effectué en mesurant le spectre infrarouge (IR) du mélange réactionnel à différents intervalles de temps. Un pic intense à </w:t>
      </w:r>
      <m:oMath>
        <m:r>
          <m:rPr>
            <m:sty m:val="p"/>
          </m:rPr>
          <m:t>1720</m:t>
        </m:r>
        <m:sSup>
          <m:sSupPr/>
          <m:e>
            <m:r>
              <m:rPr>
                <m:nor/>
              </m:rPr>
              <m:t xml:space="preserve"> </m:t>
            </m:r>
            <m:r>
              <m:rPr>
                <m:sty m:val="p"/>
              </m:rPr>
              <m:t>cm</m:t>
            </m:r>
          </m:e>
          <m:sup>
            <m:r>
              <m:rPr>
                <m:sty m:val="p"/>
              </m:rPr>
              <m:t>−</m:t>
            </m:r>
            <m:r>
              <m:rPr>
                <m:sty m:val="p"/>
              </m:rPr>
              <m:t>1</m:t>
            </m:r>
          </m:sup>
        </m:sSup>
      </m:oMath>
      <w:r>
        <w:rPr>
          <w:rFonts w:eastAsia="Georgia" w:cs="Georgia" w:ascii="Georgia" w:hAnsi="Georgia"/>
        </w:rPr>
        <w:t xml:space="preserve"> est choisi pour déterminer l'avancement de la réaction. Au début de la réaction, l'absorbance de ce pic est de 0,8 . À la fin de la réaction, cette même absorbance n'est plus que de 0,02 .</w:t>
      </w:r>
      <w:r>
        <w:rPr/>
        <w:br w:type="textWrapping"/>
      </w:r>
      <w:r>
        <w:rPr>
          <w:rFonts w:eastAsia="Georgia" w:cs="Georgia" w:ascii="Georgia" w:hAnsi="Georgia"/>
        </w:rPr>
        <w:t xml:space="preserve">3. Attribuer la transition correspondante (type de liaison et type de mouvement : élongation, déformation ...).</w:t>
      </w:r>
      <w:r>
        <w:rPr/>
        <w:br w:type="textWrapping"/>
      </w:r>
      <w:r>
        <w:rPr/>
        <w:t xml:space="preserve">4. Par analogie avec la spectroscopie UV-visible, rappeler l'expression de l'absorbance en spectroscopie infrarouge, et le principe de sa mesure.</w:t>
      </w:r>
      <w:r>
        <w:rPr/>
        <w:br w:type="textWrapping"/>
      </w:r>
      <w:r>
        <w:rPr>
          <w:rFonts w:eastAsia="Georgia" w:cs="Georgia" w:ascii="Georgia" w:hAnsi="Georgia"/>
        </w:rPr>
        <w:t xml:space="preserve">5. Expliquer comment la mesure de cette grandeur permet de déterminer le taux d'avancement de la réaction. Calculer ce taux d'avancement.</w:t>
      </w:r>
    </w:p>
    <w:p>
      <w:pPr>
        <w:spacing w:lineRule="auto"/>
        <w:jc w:val="center"/>
      </w:pPr>
      <w:r>
        <w:rPr/>
        <w:drawing>
          <wp:inline distB="0" distL="0" distR="0" distT="0">
            <wp:extent cx="5486400" cy="2335333"/>
            <wp:effectExtent b="0" l="0" r="0" t="0"/>
            <wp:docPr id="6" name="image-404b60f034fe11c5c8155c8352ec7791a02d8c6d.jpg"/>
            <a:graphic>
              <a:graphicData uri="http://schemas.openxmlformats.org/drawingml/2006/picture">
                <pic:pic>
                  <pic:nvPicPr>
                    <pic:cNvPr id="6" name="image-404b60f034fe11c5c8155c8352ec7791a02d8c6d.jpg" descr=""/>
                    <pic:cNvPicPr/>
                  </pic:nvPicPr>
                  <pic:blipFill>
                    <a:blip r:embed="rId10" cstate="print"/>
                    <a:srcRect b="0" l="0" r="0" t="0"/>
                    <a:stretch>
                      <a:fillRect/>
                    </a:stretch>
                  </pic:blipFill>
                  <pic:spPr>
                    <a:xfrm>
                      <a:off x="0" y="0"/>
                      <a:ext cx="5486400" cy="2335333"/>
                    </a:xfrm>
                    <a:prstGeom prst="rect"/>
                  </pic:spPr>
                </pic:pic>
              </a:graphicData>
            </a:graphic>
          </wp:inline>
        </w:drawing>
      </w:r>
    </w:p>
    <w:p>
      <w:pPr>
        <w:spacing w:lineRule="auto"/>
      </w:pPr>
      <w:r>
        <w:rPr>
          <w:rFonts w:eastAsia="Georgia" w:cs="Georgia" w:ascii="Georgia" w:hAnsi="Georgia"/>
        </w:rPr>
        <w:t xml:space="preserve">Figure 6 - Synthèse du cristal liquide </w:t>
      </w:r>
      <m:oMath>
        <m:sSub>
          <m:sSubPr/>
          <m:e>
            <m:r>
              <m:rPr>
                <m:sty m:val="b"/>
              </m:rPr>
              <m:t>P</m:t>
            </m:r>
          </m:e>
          <m:sub>
            <m:r>
              <m:rPr>
                <m:sty m:val="p"/>
              </m:rPr>
              <m:t>5</m:t>
            </m:r>
          </m:sub>
        </m:sSub>
      </m:oMath>
      <w:r>
        <w:rPr>
          <w:rFonts w:eastAsia="Georgia" w:cs="Georgia" w:ascii="Georgia" w:hAnsi="Georgia"/>
        </w:rPr>
        <w:t xml:space="preserve"> : étapes 3 et 4 .</w:t>
      </w:r>
    </w:p>
    <w:p>
      <w:pPr>
        <w:numPr>
          <w:ilvl w:val="0"/>
          <w:numId w:val="8"/>
        </w:numPr>
        <w:spacing w:lineRule="auto"/>
      </w:pPr>
      <w:r>
        <w:rPr>
          <w:rFonts w:eastAsia="Georgia" w:cs="Georgia" w:ascii="Georgia" w:hAnsi="Georgia"/>
        </w:rPr>
        <w:t xml:space="preserve">L'étape 3 (figure (6)) est une réaction d'oxydo-réduction et le produit </w:t>
      </w:r>
      <m:oMath>
        <m:sSub>
          <m:sSubPr/>
          <m:e>
            <m:r>
              <m:rPr>
                <m:sty m:val="b"/>
              </m:rPr>
              <m:t>P</m:t>
            </m:r>
          </m:e>
          <m:sub>
            <m:r>
              <m:rPr>
                <m:sty m:val="p"/>
              </m:rPr>
              <m:t>3</m:t>
            </m:r>
          </m:sub>
        </m:sSub>
      </m:oMath>
      <w:r>
        <w:rPr>
          <w:rFonts w:eastAsia="Georgia" w:cs="Georgia" w:ascii="Georgia" w:hAnsi="Georgia"/>
        </w:rPr>
        <w:t xml:space="preserve"> contient une fonction amine. Écrire l'équation-bilan et en déduire la structure de </w:t>
      </w:r>
      <m:oMath>
        <m:sSub>
          <m:sSubPr/>
          <m:e>
            <m:r>
              <m:rPr>
                <m:sty m:val="b"/>
              </m:rPr>
              <m:t>P</m:t>
            </m:r>
          </m:e>
          <m:sub>
            <m:r>
              <m:rPr>
                <m:sty m:val="p"/>
              </m:rPr>
              <m:t>3</m:t>
            </m:r>
          </m:sub>
        </m:sSub>
      </m:oMath>
      <w:r>
        <w:rPr/>
        <w:t xml:space="preserve">.</w:t>
      </w:r>
    </w:p>
    <w:p>
      <w:pPr>
        <w:numPr>
          <w:ilvl w:val="0"/>
          <w:numId w:val="8"/>
        </w:numPr>
        <w:spacing w:lineRule="auto"/>
      </w:pPr>
      <w:r>
        <w:rPr>
          <w:rFonts w:eastAsia="Georgia" w:cs="Georgia" w:ascii="Georgia" w:hAnsi="Georgia"/>
        </w:rPr>
        <w:t xml:space="preserve">Lors de l'etape 4 (figure (6)) on forme un électrophile </w:t>
      </w:r>
      <m:oMath>
        <m:sSup>
          <m:sSupPr/>
          <m:e>
            <m:r>
              <m:rPr>
                <m:sty m:val="p"/>
              </m:rPr>
              <m:t>NO</m:t>
            </m:r>
          </m:e>
          <m:sup>
            <m:r>
              <m:rPr>
                <m:sty m:val="p"/>
              </m:rPr>
              <m:t>+</m:t>
            </m:r>
          </m:sup>
        </m:sSup>
      </m:oMath>
      <w:r>
        <w:rPr>
          <w:rFonts w:eastAsia="Georgia" w:cs="Georgia" w:ascii="Georgia" w:hAnsi="Georgia"/>
        </w:rPr>
        <w:t xml:space="preserve">à partir de </w:t>
      </w:r>
      <m:oMath>
        <m:sSub>
          <m:sSubPr/>
          <m:e>
            <m:r>
              <m:rPr>
                <m:sty m:val="p"/>
              </m:rPr>
              <m:t>NaNO</m:t>
            </m:r>
          </m:e>
          <m:sub>
            <m:r>
              <m:rPr>
                <m:sty m:val="p"/>
              </m:rPr>
              <m:t>2</m:t>
            </m:r>
          </m:sub>
        </m:sSub>
      </m:oMath>
      <w:r>
        <w:rPr>
          <w:rFonts w:eastAsia="Georgia" w:cs="Georgia" w:ascii="Georgia" w:hAnsi="Georgia"/>
        </w:rPr>
        <w:t xml:space="preserve"> et HCl . Proposer un mécanisme permettant de former </w:t>
      </w:r>
      <m:oMath>
        <m:sSup>
          <m:sSupPr/>
          <m:e>
            <m:r>
              <m:rPr>
                <m:sty m:val="p"/>
              </m:rPr>
              <m:t>NO</m:t>
            </m:r>
          </m:e>
          <m:sup>
            <m:r>
              <m:rPr>
                <m:sty m:val="p"/>
              </m:rPr>
              <m:t>+</m:t>
            </m:r>
          </m:sup>
        </m:sSup>
      </m:oMath>
      <w:r>
        <w:rPr>
          <w:rFonts w:eastAsia="Georgia" w:cs="Georgia" w:ascii="Georgia" w:hAnsi="Georgia"/>
        </w:rPr>
        <w:t xml:space="preserve">à partir de ce mélange.</w:t>
      </w:r>
    </w:p>
    <w:p>
      <w:pPr>
        <w:numPr>
          <w:ilvl w:val="0"/>
          <w:numId w:val="8"/>
        </w:numPr>
        <w:spacing w:lineRule="auto"/>
      </w:pPr>
      <w:r>
        <w:rPr/>
        <w:t xml:space="preserve">Donner la structure de Lewis de </w:t>
      </w:r>
      <m:oMath>
        <m:sSup>
          <m:sSupPr/>
          <m:e>
            <m:r>
              <m:rPr>
                <m:sty m:val="p"/>
              </m:rPr>
              <m:t>NO</m:t>
            </m:r>
          </m:e>
          <m:sup>
            <m:r>
              <m:rPr>
                <m:sty m:val="p"/>
              </m:rPr>
              <m:t>+</m:t>
            </m:r>
          </m:sup>
        </m:sSup>
      </m:oMath>
      <w:r>
        <w:rPr/>
        <w:t xml:space="preserve">.</w:t>
      </w:r>
    </w:p>
    <w:p>
      <w:pPr>
        <w:numPr>
          <w:ilvl w:val="0"/>
          <w:numId w:val="8"/>
        </w:numPr>
        <w:spacing w:lineRule="auto"/>
      </w:pPr>
      <m:oMath>
        <m:sSub>
          <m:sSubPr/>
          <m:e>
            <m:r>
              <m:rPr>
                <m:sty m:val="b"/>
              </m:rPr>
              <m:t>P</m:t>
            </m:r>
          </m:e>
          <m:sub>
            <m:r>
              <m:rPr>
                <m:sty m:val="p"/>
              </m:rPr>
              <m:t>3</m:t>
            </m:r>
          </m:sub>
        </m:sSub>
      </m:oMath>
      <w:r>
        <w:rPr>
          <w:rFonts w:eastAsia="Georgia" w:cs="Georgia" w:ascii="Georgia" w:hAnsi="Georgia"/>
        </w:rPr>
        <w:t xml:space="preserve"> contient une fonction qui est le site nucléophile pour la réaction avec </w:t>
      </w:r>
      <m:oMath>
        <m:sSup>
          <m:sSupPr/>
          <m:e>
            <m:r>
              <m:rPr>
                <m:sty m:val="p"/>
              </m:rPr>
              <m:t>NO</m:t>
            </m:r>
          </m:e>
          <m:sup>
            <m:r>
              <m:rPr>
                <m:sty m:val="p"/>
              </m:rPr>
              <m:t>+</m:t>
            </m:r>
          </m:sup>
        </m:sSup>
      </m:oMath>
      <w:r>
        <w:rPr/>
        <w:t xml:space="preserve">. Un sel de diazonium ( </w:t>
      </w:r>
      <m:oMath>
        <m:sSup>
          <m:sSupPr/>
          <m:e>
            <m:r>
              <m:rPr>
                <m:sty m:val="p"/>
              </m:rPr>
              <m:t>R</m:t>
            </m:r>
          </m:e>
          <m:sup>
            <m:r>
              <m:rPr>
                <m:sty m:val="i"/>
              </m:rPr>
              <m:t>′</m:t>
            </m:r>
          </m:sup>
        </m:sSup>
        <m:sSub>
          <m:sSubPr/>
          <m:e>
            <m:r>
              <m:rPr>
                <m:sty m:val="p"/>
              </m:rPr>
              <m:t>N</m:t>
            </m:r>
          </m:e>
          <m:sub>
            <m:r>
              <m:rPr>
                <m:sty m:val="p"/>
              </m:rPr>
              <m:t>2</m:t>
            </m:r>
          </m:sub>
        </m:sSub>
        <m:sSup>
          <m:sSupPr/>
          <m:e>
            <m:r>
              <m:t xml:space="preserve"> </m:t>
            </m:r>
          </m:e>
          <m:sup>
            <m:r>
              <m:rPr>
                <m:sty m:val="p"/>
              </m:rPr>
              <m:t>+</m:t>
            </m:r>
          </m:sup>
        </m:sSup>
        <m:r>
          <m:rPr>
            <m:sty m:val="p"/>
          </m:rPr>
          <m:t>,</m:t>
        </m:r>
        <m:sSup>
          <m:sSupPr/>
          <m:e>
            <m:r>
              <m:rPr>
                <m:sty m:val="p"/>
              </m:rPr>
              <m:t>Cl</m:t>
            </m:r>
          </m:e>
          <m:sup>
            <m:r>
              <m:rPr>
                <m:sty m:val="p"/>
              </m:rPr>
              <m:t>−</m:t>
            </m:r>
          </m:sup>
        </m:sSup>
      </m:oMath>
      <w:r>
        <w:rPr>
          <w:rFonts w:eastAsia="Georgia" w:cs="Georgia" w:ascii="Georgia" w:hAnsi="Georgia"/>
        </w:rPr>
        <w:t xml:space="preserve">) est ainsi obtenu. Proposer un mécanisme conduisant à la formation de ce sel.</w:t>
      </w:r>
    </w:p>
    <w:p>
      <w:pPr>
        <w:numPr>
          <w:ilvl w:val="0"/>
          <w:numId w:val="8"/>
        </w:numPr>
        <w:spacing w:lineRule="auto"/>
      </w:pPr>
      <w:r>
        <w:rPr>
          <w:rFonts w:eastAsia="Georgia" w:cs="Georgia" w:ascii="Georgia" w:hAnsi="Georgia"/>
        </w:rPr>
        <w:t xml:space="preserve">Indiquer le mécanisme qui permet d'obtenir </w:t>
      </w:r>
      <m:oMath>
        <m:sSub>
          <m:sSubPr/>
          <m:e>
            <m:r>
              <m:rPr>
                <m:sty m:val="b"/>
              </m:rPr>
              <m:t>P</m:t>
            </m:r>
          </m:e>
          <m:sub>
            <m:r>
              <m:rPr>
                <m:sty m:val="p"/>
              </m:rPr>
              <m:t>4</m:t>
            </m:r>
          </m:sub>
        </m:sSub>
      </m:oMath>
      <w:r>
        <w:rPr>
          <w:rFonts w:eastAsia="Georgia" w:cs="Georgia" w:ascii="Georgia" w:hAnsi="Georgia"/>
        </w:rPr>
        <w:t xml:space="preserve"> à partir de ce sel de diazonium. Justifier l'orientation de cette réaction.</w:t>
      </w:r>
      <w:r>
        <w:rPr/>
        <w:br w:type="textWrapping"/>
      </w:r>
    </w:p>
    <w:p>
      <w:pPr>
        <w:spacing w:lineRule="auto"/>
      </w:pPr>
      <w:r>
        <w:rPr/>
        <w:drawing>
          <wp:inline distB="0" distL="0" distR="0" distT="0">
            <wp:extent cx="2447925" cy="1000125"/>
            <wp:effectExtent b="0" l="0" r="0" t="0"/>
            <wp:docPr id="7" name="image-svg-197426cf9d722352041a32ccf9955fd8f1a45ffc.svg"/>
            <a:graphic>
              <a:graphicData uri="http://schemas.openxmlformats.org/drawingml/2006/picture">
                <pic:pic>
                  <pic:nvPicPr>
                    <pic:cNvPr id="7" name="image-svg-197426cf9d722352041a32ccf9955fd8f1a45ffc.svg" descr=""/>
                    <pic:cNvPicPr/>
                  </pic:nvPicPr>
                  <pic:blipFill>
                    <a:blip r:embed="rId12" cstate="print">
                      <a:extLst>
                        <a:ext uri="">
                          <a14:useLocalDpi val="0"/>
                        </a:ext>
                        <a:ext uri="">
                          <asvg:svgBlip r:embed="rId11"/>
                        </a:ext>
                      </a:extLst>
                    </a:blip>
                    <a:srcRect b="0" l="0" r="0" t="0"/>
                    <a:stretch>
                      <a:fillRect/>
                    </a:stretch>
                  </pic:blipFill>
                  <pic:spPr>
                    <a:xfrm>
                      <a:off x="0" y="0"/>
                      <a:ext cx="2447925" cy="1000125"/>
                    </a:xfrm>
                    <a:prstGeom prst="rect"/>
                  </pic:spPr>
                </pic:pic>
              </a:graphicData>
            </a:graphic>
          </wp:inline>
        </w:drawing>
      </w:r>
    </w:p>
    <w:p>
      <w:pPr>
        <w:spacing w:after="220" w:lineRule="auto"/>
      </w:pPr>
      <w:r>
        <w:rPr>
          <w:rFonts w:eastAsia="Georgia" w:cs="Georgia" w:ascii="Georgia" w:hAnsi="Georgia"/>
        </w:rPr>
        <w:t xml:space="preserve">Figure 7 - Synthèse du cristal liquide </w:t>
      </w:r>
      <m:oMath>
        <m:sSub>
          <m:sSubPr/>
          <m:e>
            <m:r>
              <m:rPr>
                <m:sty m:val="b"/>
              </m:rPr>
              <m:t>P</m:t>
            </m:r>
          </m:e>
          <m:sub>
            <m:r>
              <m:rPr>
                <m:sty m:val="p"/>
              </m:rPr>
              <m:t>5</m:t>
            </m:r>
          </m:sub>
        </m:sSub>
      </m:oMath>
      <w:r>
        <w:rPr>
          <w:rFonts w:eastAsia="Georgia" w:cs="Georgia" w:ascii="Georgia" w:hAnsi="Georgia"/>
        </w:rPr>
        <w:t xml:space="preserve"> : étape 5. </w:t>
      </w:r>
      <m:oMath>
        <m:r>
          <m:rPr>
            <m:sty m:val="p"/>
          </m:rPr>
          <m:t>R</m:t>
        </m:r>
        <m:r>
          <m:rPr>
            <m:sty m:val="p"/>
          </m:rPr>
          <m:t>=</m:t>
        </m:r>
        <m:sSub>
          <m:sSubPr/>
          <m:e>
            <m:r>
              <m:rPr>
                <m:sty m:val="p"/>
              </m:rPr>
              <m:t>C</m:t>
            </m:r>
          </m:e>
          <m:sub>
            <m:r>
              <m:rPr>
                <m:sty m:val="p"/>
              </m:rPr>
              <m:t>4</m:t>
            </m:r>
          </m:sub>
        </m:sSub>
        <m:sSub>
          <m:sSubPr/>
          <m:e>
            <m:r>
              <m:rPr>
                <m:sty m:val="p"/>
              </m:rPr>
              <m:t>H</m:t>
            </m:r>
          </m:e>
          <m:sub>
            <m:r>
              <m:rPr>
                <m:sty m:val="p"/>
              </m:rPr>
              <m:t>9</m:t>
            </m:r>
          </m:sub>
        </m:sSub>
        <m:sSub>
          <m:sSubPr/>
          <m:e>
            <m:d>
              <m:dPr>
                <m:begChr m:val="("/>
                <m:endChr m:val=")"/>
                <m:ctrlPr>
                  <w:rPr>
                    <w:rFonts w:ascii="Cambria Math" w:hAnsi="Cambria Math"/>
                  </w:rPr>
                </m:ctrlPr>
              </m:dPr>
              <m:e>
                <m:sSub>
                  <m:sSubPr/>
                  <m:e>
                    <m:r>
                      <m:rPr>
                        <m:sty m:val="p"/>
                      </m:rPr>
                      <m:t>OCH</m:t>
                    </m:r>
                  </m:e>
                  <m:sub>
                    <m:r>
                      <m:rPr>
                        <m:sty m:val="p"/>
                      </m:rPr>
                      <m:t>2</m:t>
                    </m:r>
                  </m:sub>
                </m:sSub>
                <m:sSub>
                  <m:sSubPr/>
                  <m:e>
                    <m:r>
                      <m:rPr>
                        <m:sty m:val="p"/>
                      </m:rPr>
                      <m:t>CH</m:t>
                    </m:r>
                  </m:e>
                  <m:sub>
                    <m:r>
                      <m:rPr>
                        <m:sty m:val="p"/>
                      </m:rPr>
                      <m:t>2</m:t>
                    </m:r>
                  </m:sub>
                </m:sSub>
              </m:e>
            </m:d>
          </m:e>
          <m:sub>
            <m:r>
              <m:rPr>
                <m:sty m:val="p"/>
              </m:rPr>
              <m:t>2</m:t>
            </m:r>
          </m:sub>
        </m:sSub>
      </m:oMath>
      <w:r>
        <w:rPr/>
        <w:br w:type="textWrapping"/>
      </w:r>
      <w:r>
        <w:rPr>
          <w:rFonts w:eastAsia="Georgia" w:cs="Georgia" w:ascii="Georgia" w:hAnsi="Georgia"/>
        </w:rPr>
        <w:t xml:space="preserve">11. Pour l'étape 5 (figure (7)), justifier le choix du réactif </w:t>
      </w:r>
      <m:oMath>
        <m:r>
          <m:rPr>
            <m:sty m:val="p"/>
          </m:rPr>
          <m:t>R</m:t>
        </m:r>
        <m:r>
          <m:rPr>
            <m:sty m:val="p"/>
          </m:rPr>
          <m:t>−</m:t>
        </m:r>
        <m:r>
          <m:rPr>
            <m:sty m:val="p"/>
          </m:rPr>
          <m:t>O</m:t>
        </m:r>
        <m:r>
          <m:rPr>
            <m:sty m:val="p"/>
          </m:rPr>
          <m:t>−</m:t>
        </m:r>
        <m:sSub>
          <m:sSubPr/>
          <m:e>
            <m:r>
              <m:rPr>
                <m:sty m:val="p"/>
              </m:rPr>
              <m:t>SO</m:t>
            </m:r>
          </m:e>
          <m:sub>
            <m:r>
              <m:rPr>
                <m:sty m:val="p"/>
              </m:rPr>
              <m:t>2</m:t>
            </m:r>
          </m:sub>
        </m:sSub>
        <m:sSub>
          <m:sSubPr/>
          <m:e>
            <m:r>
              <m:rPr>
                <m:sty m:val="p"/>
              </m:rPr>
              <m:t>PhCH</m:t>
            </m:r>
          </m:e>
          <m:sub>
            <m:r>
              <m:rPr>
                <m:sty m:val="p"/>
              </m:rPr>
              <m:t>3</m:t>
            </m:r>
          </m:sub>
        </m:sSub>
      </m:oMath>
      <w:r>
        <w:rPr>
          <w:rFonts w:eastAsia="Georgia" w:cs="Georgia" w:ascii="Georgia" w:hAnsi="Georgia"/>
        </w:rPr>
        <w:t xml:space="preserve"> et la régiosélectivité de cette réaction.</w:t>
      </w:r>
    </w:p>
    <w:p>
      <w:pPr>
        <w:spacing w:line="271" w:before="330" w:lineRule="auto"/>
      </w:pPr>
      <w:r>
        <w:rPr>
          <w:rFonts w:eastAsia="Georgia" w:cs="Georgia" w:ascii="Georgia" w:hAnsi="Georgia"/>
          <w:b/>
          <w:sz w:val="42"/>
        </w:rPr>
        <w:t xml:space="preserve">V.B Étude structurale.</w:t>
      </w:r>
    </w:p>
    <w:p>
      <w:pPr>
        <w:spacing w:after="220" w:lineRule="auto"/>
      </w:pPr>
      <w:r>
        <w:rPr>
          <w:rFonts w:eastAsia="Georgia" w:cs="Georgia" w:ascii="Georgia" w:hAnsi="Georgia"/>
        </w:rPr>
        <w:t xml:space="preserve">Le composé </w:t>
      </w:r>
      <m:oMath>
        <m:sSub>
          <m:sSubPr/>
          <m:e>
            <m:r>
              <m:rPr>
                <m:sty m:val="b"/>
              </m:rPr>
              <m:t>P</m:t>
            </m:r>
          </m:e>
          <m:sub>
            <m:r>
              <m:rPr>
                <m:sty m:val="p"/>
              </m:rPr>
              <m:t>5</m:t>
            </m:r>
          </m:sub>
        </m:sSub>
      </m:oMath>
      <w:r>
        <w:rPr>
          <w:rFonts w:eastAsia="Georgia" w:cs="Georgia" w:ascii="Georgia" w:hAnsi="Georgia"/>
        </w:rPr>
        <w:t xml:space="preserve"> a la propriété de former des cristaux liquides. La forme de ces molécules, et surtout la nature des interactions qu'elles peuvent développer entre elles, conditionnent l'arrangement microscopique au sein duquel elles s'organisent (voir figure (8)) :</w:t>
      </w:r>
    </w:p>
    <w:p>
      <w:pPr>
        <w:numPr>
          <w:ilvl w:val="0"/>
          <w:numId w:val="9"/>
        </w:numPr>
        <w:spacing w:lineRule="auto"/>
      </w:pPr>
      <w:r>
        <w:rPr>
          <w:rFonts w:eastAsia="Georgia" w:cs="Georgia" w:ascii="Georgia" w:hAnsi="Georgia"/>
        </w:rPr>
        <w:t xml:space="preserve">À basse température, </w:t>
      </w:r>
      <m:oMath>
        <m:sSub>
          <m:sSubPr/>
          <m:e>
            <m:r>
              <m:rPr>
                <m:sty m:val="b"/>
              </m:rPr>
              <m:t>P</m:t>
            </m:r>
          </m:e>
          <m:sub>
            <m:r>
              <m:rPr>
                <m:sty m:val="p"/>
              </m:rPr>
              <m:t>5</m:t>
            </m:r>
          </m:sub>
        </m:sSub>
      </m:oMath>
      <w:r>
        <w:rPr>
          <w:rFonts w:eastAsia="Georgia" w:cs="Georgia" w:ascii="Georgia" w:hAnsi="Georgia"/>
        </w:rPr>
        <w:t xml:space="preserve"> peut former une phase cristalline, caractérisée par un arrangement périodique de molécules qui peuvent être considérées comme des bâtonnets rigides. Toutes ces molécules présentent, de plus, un ordre orientationnel (i.e. elles ont la même orientation).</w:t>
      </w:r>
    </w:p>
    <w:p>
      <w:pPr>
        <w:numPr>
          <w:ilvl w:val="0"/>
          <w:numId w:val="9"/>
        </w:numPr>
        <w:spacing w:lineRule="auto"/>
      </w:pPr>
      <w:r>
        <w:rPr>
          <w:rFonts w:eastAsia="Georgia" w:cs="Georgia" w:ascii="Georgia" w:hAnsi="Georgia"/>
        </w:rPr>
        <w:t xml:space="preserve">Lorsque la température augmente, une phase cristal liquide de type smectique est obtenue : les molécules gardent un ordre orientationnel caractérisé par un directeur </w:t>
      </w:r>
      <m:oMath>
        <m:acc>
          <m:accPr>
            <m:chr m:val="⃗"/>
          </m:accPr>
          <m:e>
            <m:r>
              <m:rPr>
                <m:sty m:val="i"/>
              </m:rPr>
              <m:t>n</m:t>
            </m:r>
          </m:e>
        </m:acc>
      </m:oMath>
      <w:r>
        <w:rPr>
          <w:rFonts w:eastAsia="Georgia" w:cs="Georgia" w:ascii="Georgia" w:hAnsi="Georgia"/>
        </w:rPr>
        <w:t xml:space="preserve">, mais restent confinées au sein de lamelles (sur la figure (8), deux lamelles correspondant à des plans perpendiculaires au directeur </w:t>
      </w:r>
      <m:oMath>
        <m:acc>
          <m:accPr>
            <m:chr m:val="⃗"/>
          </m:accPr>
          <m:e>
            <m:r>
              <m:rPr>
                <m:sty m:val="i"/>
              </m:rPr>
              <m:t>n</m:t>
            </m:r>
          </m:e>
        </m:acc>
      </m:oMath>
      <w:r>
        <w:rPr>
          <w:rFonts w:eastAsia="Georgia" w:cs="Georgia" w:ascii="Georgia" w:hAnsi="Georgia"/>
        </w:rPr>
        <w:t xml:space="preserve"> sont représentées). En revanche, ces structures lamellaires sont intrinsèquement fluides.</w:t>
      </w:r>
    </w:p>
    <w:p>
      <w:pPr>
        <w:numPr>
          <w:ilvl w:val="0"/>
          <w:numId w:val="9"/>
        </w:numPr>
        <w:spacing w:lineRule="auto"/>
      </w:pPr>
      <w:r>
        <w:rPr>
          <w:rFonts w:eastAsia="Georgia" w:cs="Georgia" w:ascii="Georgia" w:hAnsi="Georgia"/>
        </w:rPr>
        <w:t xml:space="preserve">À plus haute température, un deuxième type de cristal liquide de type nématique, est observé : il présente seulement un ordre orientationnel caractérisé par un directeur </w:t>
      </w:r>
      <m:oMath>
        <m:acc>
          <m:accPr>
            <m:chr m:val="⃗"/>
          </m:accPr>
          <m:e>
            <m:r>
              <m:rPr>
                <m:sty m:val="i"/>
              </m:rPr>
              <m:t>n</m:t>
            </m:r>
          </m:e>
        </m:acc>
      </m:oMath>
      <w:r>
        <w:rPr/>
        <w:t xml:space="preserve">, mais la structure lamellaire a disparu.</w:t>
      </w:r>
    </w:p>
    <w:p>
      <w:pPr>
        <w:numPr>
          <w:ilvl w:val="0"/>
          <w:numId w:val="9"/>
        </w:numPr>
        <w:spacing w:lineRule="auto"/>
      </w:pPr>
      <w:r>
        <w:rPr>
          <w:rFonts w:eastAsia="Georgia" w:cs="Georgia" w:ascii="Georgia" w:hAnsi="Georgia"/>
        </w:rPr>
        <w:t xml:space="preserve">Enfin, à haute température, les molécules peuvent s'orienter et se déplacer de manière isotrope : il s'agit alors d'une phase liquide.</w:t>
      </w:r>
      <w:r>
        <w:rPr/>
        <w:br w:type="textWrapping"/>
      </w:r>
      <w:r>
        <w:rPr>
          <w:rFonts w:eastAsia="Georgia" w:cs="Georgia" w:ascii="Georgia" w:hAnsi="Georgia"/>
        </w:rPr>
        <w:t xml:space="preserve">La présence d'un ordre orientationnel au sein d'un cristal liquide lui confère des propriétés physiques analogues à celles de certains solides cristallins. En revanche, le matériau ainsi formé présente la fluidité d'un liquide. C'est la nature ambigüe de cet état intermédiaire de la matière, qui est mise en oeuvre, dans la suite de cette étude, pour réaliser une membrane électrolyte capable d'assurer le transport d'espèces ioniques entre les électrodes d'une pile.</w:t>
      </w:r>
    </w:p>
    <w:p>
      <w:pPr>
        <w:numPr>
          <w:ilvl w:val="0"/>
          <w:numId w:val="10"/>
        </w:numPr>
        <w:spacing w:lineRule="auto"/>
      </w:pPr>
      <w:r>
        <w:rPr>
          <w:rFonts w:eastAsia="Georgia" w:cs="Georgia" w:ascii="Georgia" w:hAnsi="Georgia"/>
        </w:rPr>
        <w:t xml:space="preserve">Indiquer le type d'interactions assurant la cohésion de ce cristal liquide. Donner un ordre de grandeur de l'énergie associée à ces interactions.</w:t>
      </w:r>
    </w:p>
    <w:p>
      <w:pPr>
        <w:numPr>
          <w:ilvl w:val="0"/>
          <w:numId w:val="10"/>
        </w:numPr>
        <w:spacing w:lineRule="auto"/>
      </w:pPr>
      <w:r>
        <w:rPr>
          <w:rFonts w:eastAsia="Georgia" w:cs="Georgia" w:ascii="Georgia" w:hAnsi="Georgia"/>
        </w:rPr>
        <w:t xml:space="preserve">Justifier qualitativement le fait que la phase cristal liquide soit fluide, mais qu'elle présente un ordre orientationnel. À quoi attribuer l'existence d'une structure lamellaire?</w:t>
      </w:r>
    </w:p>
    <w:p>
      <w:pPr>
        <w:numPr>
          <w:ilvl w:val="0"/>
          <w:numId w:val="10"/>
        </w:numPr>
        <w:spacing w:lineRule="auto"/>
      </w:pPr>
      <w:r>
        <w:rPr>
          <w:rFonts w:eastAsia="Georgia" w:cs="Georgia" w:ascii="Georgia" w:hAnsi="Georgia"/>
        </w:rPr>
        <w:t xml:space="preserve">Lorsque la température augmente, comment se comportent, respectivement, les chaînes latérales de </w:t>
      </w:r>
      <m:oMath>
        <m:sSub>
          <m:sSubPr/>
          <m:e>
            <m:r>
              <m:rPr>
                <m:sty m:val="b"/>
              </m:rPr>
              <m:t>P</m:t>
            </m:r>
          </m:e>
          <m:sub>
            <m:r>
              <m:rPr>
                <m:sty m:val="p"/>
              </m:rPr>
              <m:t>5</m:t>
            </m:r>
          </m:sub>
        </m:sSub>
      </m:oMath>
      <w:r>
        <w:rPr>
          <w:rFonts w:eastAsia="Georgia" w:cs="Georgia" w:ascii="Georgia" w:hAnsi="Georgia"/>
        </w:rPr>
        <w:t xml:space="preserve"> et le "cœur" aromatique?</w:t>
      </w:r>
    </w:p>
    <w:p>
      <w:pPr>
        <w:spacing w:lineRule="auto"/>
        <w:jc w:val="center"/>
      </w:pPr>
      <w:r>
        <w:rPr/>
        <w:drawing>
          <wp:inline distB="0" distL="0" distR="0" distT="0">
            <wp:extent cx="5486400" cy="3707239"/>
            <wp:effectExtent b="0" l="0" r="0" t="0"/>
            <wp:docPr id="9" name="image-1041d64602af27456b873182054a395f16f951fc.jpg"/>
            <a:graphic>
              <a:graphicData uri="http://schemas.openxmlformats.org/drawingml/2006/picture">
                <pic:pic>
                  <pic:nvPicPr>
                    <pic:cNvPr id="9" name="image-1041d64602af27456b873182054a395f16f951fc.jpg" descr=""/>
                    <pic:cNvPicPr/>
                  </pic:nvPicPr>
                  <pic:blipFill>
                    <a:blip r:embed="rId13" cstate="print"/>
                    <a:srcRect b="0" l="0" r="0" t="0"/>
                    <a:stretch>
                      <a:fillRect/>
                    </a:stretch>
                  </pic:blipFill>
                  <pic:spPr>
                    <a:xfrm>
                      <a:off x="0" y="0"/>
                      <a:ext cx="5486400" cy="3707239"/>
                    </a:xfrm>
                    <a:prstGeom prst="rect"/>
                  </pic:spPr>
                </pic:pic>
              </a:graphicData>
            </a:graphic>
          </wp:inline>
        </w:drawing>
      </w:r>
    </w:p>
    <w:p>
      <w:pPr>
        <w:spacing w:lineRule="auto"/>
      </w:pPr>
      <w:r>
        <w:rPr>
          <w:rFonts w:eastAsia="Georgia" w:cs="Georgia" w:ascii="Georgia" w:hAnsi="Georgia"/>
        </w:rPr>
        <w:t xml:space="preserve">Figure 8 - Représentation schématique de l'organisation microscopique, en fonction de la température, du matériau constitué de la molécule </w:t>
      </w:r>
      <m:oMath>
        <m:sSub>
          <m:sSubPr/>
          <m:e>
            <m:r>
              <m:rPr>
                <m:sty m:val="b"/>
              </m:rPr>
              <m:t>P</m:t>
            </m:r>
          </m:e>
          <m:sub>
            <m:r>
              <m:rPr>
                <m:sty m:val="p"/>
              </m:rPr>
              <m:t>5</m:t>
            </m:r>
          </m:sub>
        </m:sSub>
      </m:oMath>
      <w:r>
        <w:rPr/>
        <w:t xml:space="preserve">.</w:t>
      </w:r>
    </w:p>
    <w:p>
      <w:pPr>
        <w:numPr>
          <w:ilvl w:val="0"/>
          <w:numId w:val="11"/>
        </w:numPr>
        <w:spacing w:lineRule="auto"/>
      </w:pPr>
      <w:r>
        <w:rPr>
          <w:rFonts w:eastAsia="Georgia" w:cs="Georgia" w:ascii="Georgia" w:hAnsi="Georgia"/>
        </w:rPr>
        <w:t xml:space="preserve">En général, un facteur de forme est invoqué pour expliquer l'apparition d'un ordre orientationnel. Dans le cas de </w:t>
      </w:r>
      <m:oMath>
        <m:sSub>
          <m:sSubPr/>
          <m:e>
            <m:r>
              <m:rPr>
                <m:sty m:val="b"/>
              </m:rPr>
              <m:t>P</m:t>
            </m:r>
          </m:e>
          <m:sub>
            <m:r>
              <m:rPr>
                <m:sty m:val="p"/>
              </m:rPr>
              <m:t>5</m:t>
            </m:r>
          </m:sub>
        </m:sSub>
      </m:oMath>
      <w:r>
        <w:rPr>
          <w:rFonts w:eastAsia="Georgia" w:cs="Georgia" w:ascii="Georgia" w:hAnsi="Georgia"/>
        </w:rPr>
        <w:t xml:space="preserve">, ce facteur de forme peut par exemple être décrit comme correspondant à un "bâtonnet", pour la phase smectique. Comment évolue ce facteur de forme lorsque la température augmente? Quelle influence cette évolution a-t-elle sur le développement des interactions entre molécules?</w:t>
      </w:r>
    </w:p>
    <w:p>
      <w:pPr>
        <w:spacing w:after="220" w:lineRule="auto"/>
      </w:pPr>
      <w:r>
        <w:rPr>
          <w:rFonts w:eastAsia="Georgia" w:cs="Georgia" w:ascii="Georgia" w:hAnsi="Georgia"/>
        </w:rPr>
        <w:t xml:space="preserve">Dans un cristal liquide ionique, des ions sont ajoutés dans une matrice cristal liquide du type décrit ci-dessus, pour - par exemple - contribuer au transport de charge entre les deux électrodes d'une pile. Dans la suite, nous nous concentrerons sur le cas des piles au lithium, dont la réaction de fonctionnement est :</w:t>
      </w:r>
    </w:p>
    <w:p>
      <w:pPr>
        <w:spacing w:after="220" w:lineRule="auto"/>
      </w:pPr>
      <m:oMathPara>
        <m:oMath>
          <m:r>
            <m:rPr>
              <m:sty m:val="p"/>
            </m:rPr>
            <m:t>Li</m:t>
          </m:r>
          <m:r>
            <m:rPr>
              <m:sty m:val="p"/>
            </m:rPr>
            <m:t>+</m:t>
          </m:r>
          <m:sSub>
            <m:sSubPr/>
            <m:e>
              <m:r>
                <m:rPr>
                  <m:sty m:val="p"/>
                </m:rPr>
                <m:t>MnO</m:t>
              </m:r>
            </m:e>
            <m:sub>
              <m:r>
                <m:rPr>
                  <m:sty m:val="p"/>
                </m:rPr>
                <m:t>2</m:t>
              </m:r>
            </m:sub>
          </m:sSub>
          <m:r>
            <m:rPr>
              <m:sty m:val="p"/>
            </m:rPr>
            <m:t>→</m:t>
          </m:r>
          <m:sSub>
            <m:sSubPr/>
            <m:e>
              <m:r>
                <m:rPr>
                  <m:sty m:val="p"/>
                </m:rPr>
                <m:t>LiMnO</m:t>
              </m:r>
            </m:e>
            <m:sub>
              <m:r>
                <m:rPr>
                  <m:sty m:val="p"/>
                </m:rPr>
                <m:t>2</m:t>
              </m:r>
            </m:sub>
          </m:sSub>
        </m:oMath>
      </m:oMathPara>
    </w:p>
    <w:p>
      <w:pPr>
        <w:numPr>
          <w:ilvl w:val="0"/>
          <w:numId w:val="12"/>
        </w:numPr>
        <w:spacing w:lineRule="auto"/>
      </w:pPr>
      <w:r>
        <w:rPr>
          <w:rFonts w:eastAsia="Georgia" w:cs="Georgia" w:ascii="Georgia" w:hAnsi="Georgia"/>
        </w:rPr>
        <w:t xml:space="preserve">Préciser le degré d'oxydation du manganèse dans les composés </w:t>
      </w:r>
      <m:oMath>
        <m:sSub>
          <m:sSubPr/>
          <m:e>
            <m:r>
              <m:rPr>
                <m:sty m:val="p"/>
              </m:rPr>
              <m:t>MnO</m:t>
            </m:r>
          </m:e>
          <m:sub>
            <m:r>
              <m:rPr>
                <m:sty m:val="p"/>
              </m:rPr>
              <m:t>2</m:t>
            </m:r>
          </m:sub>
        </m:sSub>
      </m:oMath>
      <w:r>
        <w:rPr/>
        <w:t xml:space="preserve"> et </w:t>
      </w:r>
      <m:oMath>
        <m:sSub>
          <m:sSubPr/>
          <m:e>
            <m:r>
              <m:rPr>
                <m:sty m:val="p"/>
              </m:rPr>
              <m:t>LiMnO</m:t>
            </m:r>
          </m:e>
          <m:sub>
            <m:r>
              <m:rPr>
                <m:sty m:val="p"/>
              </m:rPr>
              <m:t>2</m:t>
            </m:r>
          </m:sub>
        </m:sSub>
      </m:oMath>
      <w:r>
        <w:rPr/>
        <w:t xml:space="preserve">.</w:t>
      </w:r>
    </w:p>
    <w:p>
      <w:pPr>
        <w:numPr>
          <w:ilvl w:val="0"/>
          <w:numId w:val="12"/>
        </w:numPr>
        <w:spacing w:lineRule="auto"/>
      </w:pPr>
      <w:r>
        <w:rPr>
          <w:rFonts w:eastAsia="Georgia" w:cs="Georgia" w:ascii="Georgia" w:hAnsi="Georgia"/>
        </w:rPr>
        <w:t xml:space="preserve">Indiquer les deux demi-réactions impliquées dans cette pile. Quel matériau constitue l'anode? La cathode? Le pole (+) ?</w:t>
      </w:r>
    </w:p>
    <w:p>
      <w:pPr>
        <w:numPr>
          <w:ilvl w:val="0"/>
          <w:numId w:val="12"/>
        </w:numPr>
        <w:spacing w:lineRule="auto"/>
      </w:pPr>
      <w:r>
        <w:rPr>
          <w:rFonts w:eastAsia="Georgia" w:cs="Georgia" w:ascii="Georgia" w:hAnsi="Georgia"/>
        </w:rPr>
        <w:t xml:space="preserve">L'électrolyte de cette pile contient le cation </w:t>
      </w:r>
      <m:oMath>
        <m:sSup>
          <m:sSupPr/>
          <m:e>
            <m:r>
              <m:rPr>
                <m:sty m:val="p"/>
              </m:rPr>
              <m:t>Li</m:t>
            </m:r>
          </m:e>
          <m:sup>
            <m:r>
              <m:rPr>
                <m:sty m:val="p"/>
              </m:rPr>
              <m:t>+</m:t>
            </m:r>
          </m:sup>
        </m:sSup>
      </m:oMath>
      <w:r>
        <w:rPr/>
        <w:t xml:space="preserve">(ainsi qu'un anion </w:t>
      </w:r>
      <m:oMath>
        <m:sSup>
          <m:sSupPr/>
          <m:e>
            <m:r>
              <m:rPr>
                <m:sty m:val="p"/>
              </m:rPr>
              <m:t>A</m:t>
            </m:r>
          </m:e>
          <m:sup>
            <m:r>
              <m:rPr>
                <m:sty m:val="p"/>
              </m:rPr>
              <m:t>−</m:t>
            </m:r>
          </m:sup>
        </m:sSup>
      </m:oMath>
      <w:r>
        <w:rPr>
          <w:rFonts w:eastAsia="Georgia" w:cs="Georgia" w:ascii="Georgia" w:hAnsi="Georgia"/>
        </w:rPr>
        <w:t xml:space="preserve">). Justifier le fait que l'électrolyte doive cette fois-ci assurer le transport de </w:t>
      </w:r>
      <m:oMath>
        <m:sSup>
          <m:sSupPr/>
          <m:e>
            <m:r>
              <m:rPr>
                <m:sty m:val="p"/>
              </m:rPr>
              <m:t>Li</m:t>
            </m:r>
          </m:e>
          <m:sup>
            <m:r>
              <m:rPr>
                <m:sty m:val="p"/>
              </m:rPr>
              <m:t>+</m:t>
            </m:r>
          </m:sup>
        </m:sSup>
      </m:oMath>
      <w:r>
        <w:rPr/>
        <w:t xml:space="preserve">.</w:t>
      </w:r>
    </w:p>
    <w:p>
      <w:pPr>
        <w:numPr>
          <w:ilvl w:val="0"/>
          <w:numId w:val="12"/>
        </w:numPr>
        <w:spacing w:lineRule="auto"/>
      </w:pPr>
      <w:r>
        <w:rPr>
          <w:rFonts w:eastAsia="Georgia" w:cs="Georgia" w:ascii="Georgia" w:hAnsi="Georgia"/>
        </w:rPr>
        <w:t xml:space="preserve">Faire un schéma de la pile ainsi constituée.</w:t>
      </w:r>
    </w:p>
    <w:p>
      <w:pPr>
        <w:spacing w:after="220" w:lineRule="auto"/>
      </w:pPr>
      <w:r>
        <w:rPr>
          <w:rFonts w:eastAsia="Georgia" w:cs="Georgia" w:ascii="Georgia" w:hAnsi="Georgia"/>
        </w:rPr>
        <w:t xml:space="preserve">Une membrane électrolyte à structure de cristal liquide ionique est réalisée en dissolvant un sel ( </w:t>
      </w:r>
      <m:oMath>
        <m:sSup>
          <m:sSupPr/>
          <m:e>
            <m:r>
              <m:rPr>
                <m:sty m:val="p"/>
              </m:rPr>
              <m:t>Li</m:t>
            </m:r>
          </m:e>
          <m:sup>
            <m:r>
              <m:rPr>
                <m:sty m:val="p"/>
              </m:rPr>
              <m:t>+</m:t>
            </m:r>
          </m:sup>
        </m:sSup>
        <m:r>
          <m:rPr>
            <m:sty m:val="p"/>
          </m:rPr>
          <m:t>,</m:t>
        </m:r>
        <m:sSup>
          <m:sSupPr/>
          <m:e>
            <m:r>
              <m:rPr>
                <m:sty m:val="p"/>
              </m:rPr>
              <m:t>A</m:t>
            </m:r>
          </m:e>
          <m:sup>
            <m:r>
              <m:rPr>
                <m:sty m:val="p"/>
              </m:rPr>
              <m:t>−</m:t>
            </m:r>
          </m:sup>
        </m:sSup>
      </m:oMath>
      <w:r>
        <w:rPr>
          <w:rFonts w:eastAsia="Georgia" w:cs="Georgia" w:ascii="Georgia" w:hAnsi="Georgia"/>
        </w:rPr>
        <w:t xml:space="preserve">) dans le cristal liquide constitué des molécules nématogènes désirées (par exemple les molécules </w:t>
      </w:r>
      <m:oMath>
        <m:sSub>
          <m:sSubPr/>
          <m:e>
            <m:r>
              <m:rPr>
                <m:sty m:val="b"/>
              </m:rPr>
              <m:t>P</m:t>
            </m:r>
          </m:e>
          <m:sub>
            <m:r>
              <m:rPr>
                <m:sty m:val="p"/>
              </m:rPr>
              <m:t>5</m:t>
            </m:r>
          </m:sub>
        </m:sSub>
      </m:oMath>
      <w:r>
        <w:rPr/>
        <w:t xml:space="preserve"> ).</w:t>
      </w:r>
      <w:r>
        <w:rPr/>
        <w:br w:type="textWrapping"/>
      </w:r>
      <w:r>
        <w:rPr/>
        <w:t xml:space="preserve">20. Quelles interactions avec </w:t>
      </w:r>
      <m:oMath>
        <m:sSub>
          <m:sSubPr/>
          <m:e>
            <m:r>
              <m:rPr>
                <m:sty m:val="b"/>
              </m:rPr>
              <m:t>P</m:t>
            </m:r>
          </m:e>
          <m:sub>
            <m:r>
              <m:rPr>
                <m:sty m:val="p"/>
              </m:rPr>
              <m:t>5</m:t>
            </m:r>
          </m:sub>
        </m:sSub>
      </m:oMath>
      <w:r>
        <w:rPr>
          <w:rFonts w:eastAsia="Georgia" w:cs="Georgia" w:ascii="Georgia" w:hAnsi="Georgia"/>
        </w:rPr>
        <w:t xml:space="preserve"> sont susceptibles de solvater ces espèces ioniques?</w:t>
      </w:r>
      <w:r>
        <w:rPr/>
        <w:br w:type="textWrapping"/>
      </w:r>
      <w:r>
        <w:rPr/>
        <w:t xml:space="preserve">21. Que se passe-t-il si la concentration saline est trop faible? Trop importante?</w:t>
      </w:r>
      <w:r>
        <w:rPr/>
        <w:br w:type="textWrapping"/>
      </w:r>
      <w:r>
        <w:rPr>
          <w:rFonts w:eastAsia="Georgia" w:cs="Georgia" w:ascii="Georgia" w:hAnsi="Georgia"/>
        </w:rPr>
        <w:t xml:space="preserve">22. La conductivité du cristal liquide ionique résultant sera-t-elle la même selon qu'elle est mesurée parallèlement ou perpendiculairement à </w:t>
      </w:r>
      <m:oMath>
        <m:acc>
          <m:accPr>
            <m:chr m:val="⃗"/>
          </m:accPr>
          <m:e>
            <m:r>
              <m:rPr>
                <m:sty m:val="i"/>
              </m:rPr>
              <m:t>n</m:t>
            </m:r>
          </m:e>
        </m:acc>
      </m:oMath>
      <w:r>
        <w:rPr>
          <w:rFonts w:eastAsia="Georgia" w:cs="Georgia" w:ascii="Georgia" w:hAnsi="Georgia"/>
        </w:rPr>
        <w:t xml:space="preserve"> ? Justifier la réponse.</w:t>
      </w:r>
      <w:r>
        <w:rPr/>
        <w:br w:type="textWrapping"/>
      </w:r>
      <w:r>
        <w:rPr>
          <w:rFonts w:eastAsia="Georgia" w:cs="Georgia" w:ascii="Georgia" w:hAnsi="Georgia"/>
        </w:rPr>
        <w:t xml:space="preserve">23. Cette membrane électrolyte est-elle imperméable aux réactifs de cette pile autres que les ions </w:t>
      </w:r>
      <m:oMath>
        <m:sSup>
          <m:sSupPr/>
          <m:e>
            <m:r>
              <m:rPr>
                <m:sty m:val="p"/>
              </m:rPr>
              <m:t>Li</m:t>
            </m:r>
          </m:e>
          <m:sup>
            <m:r>
              <m:rPr>
                <m:sty m:val="p"/>
              </m:rPr>
              <m:t>+</m:t>
            </m:r>
          </m:sup>
        </m:sSup>
      </m:oMath>
      <w:r>
        <w:rPr>
          <w:rFonts w:eastAsia="Georgia" w:cs="Georgia" w:ascii="Georgia" w:hAnsi="Georgia"/>
        </w:rPr>
        <w:t xml:space="preserve">? Justifier la réponse.</w:t>
      </w:r>
    </w:p>
    <w:p>
      <w:pPr>
        <w:spacing w:line="271" w:before="330" w:lineRule="auto"/>
      </w:pPr>
      <w:r>
        <w:rPr>
          <w:rFonts w:eastAsia="Georgia" w:cs="Georgia" w:ascii="Georgia" w:hAnsi="Georgia"/>
          <w:b/>
          <w:sz w:val="42"/>
        </w:rPr>
        <w:t xml:space="preserve">V.C Propriétés conductrices : transport de charges.</w:t>
      </w:r>
    </w:p>
    <w:p>
      <w:pPr>
        <w:spacing w:after="220" w:lineRule="auto"/>
      </w:pPr>
      <w:r>
        <w:rPr>
          <w:rFonts w:eastAsia="Georgia" w:cs="Georgia" w:ascii="Georgia" w:hAnsi="Georgia"/>
        </w:rPr>
        <w:t xml:space="preserve">On rappelle que dans la pile au lithium étudiée ici, l'électrolyte, qui est un cristal liquide ionique, doit permettre le transport des ions </w:t>
      </w:r>
      <m:oMath>
        <m:sSup>
          <m:sSupPr/>
          <m:e>
            <m:r>
              <m:rPr>
                <m:sty m:val="p"/>
              </m:rPr>
              <m:t>Li</m:t>
            </m:r>
          </m:e>
          <m:sup>
            <m:r>
              <m:rPr>
                <m:sty m:val="p"/>
              </m:rPr>
              <m:t>+</m:t>
            </m:r>
          </m:sup>
        </m:sSup>
      </m:oMath>
      <w:r>
        <w:rPr>
          <w:rFonts w:eastAsia="Georgia" w:cs="Georgia" w:ascii="Georgia" w:hAnsi="Georgia"/>
        </w:rPr>
        <w:t xml:space="preserve">d'une électrode à l'autre. Dans cette partie, nous allons tenter de comprendre quels peuvent être les mécanismes de transport de ces charges dans un solvant de ce type. Pour comprendre ce phénomène de transport de charges, deux cristaux liquides </w:t>
      </w:r>
      <m:oMath>
        <m:sSub>
          <m:sSubPr/>
          <m:e>
            <m:r>
              <m:rPr>
                <m:sty m:val="b"/>
              </m:rPr>
              <m:t>P</m:t>
            </m:r>
          </m:e>
          <m:sub>
            <m:r>
              <m:rPr>
                <m:sty m:val="p"/>
              </m:rPr>
              <m:t>6</m:t>
            </m:r>
          </m:sub>
        </m:sSub>
      </m:oMath>
      <w:r>
        <w:rPr/>
        <w:t xml:space="preserve"> et </w:t>
      </w:r>
      <m:oMath>
        <m:sSub>
          <m:sSubPr/>
          <m:e>
            <m:r>
              <m:rPr>
                <m:sty m:val="b"/>
              </m:rPr>
              <m:t>P</m:t>
            </m:r>
          </m:e>
          <m:sub>
            <m:r>
              <m:rPr>
                <m:sty m:val="p"/>
              </m:rPr>
              <m:t>7</m:t>
            </m:r>
          </m:sub>
        </m:sSub>
      </m:oMath>
      <w:r>
        <w:rPr>
          <w:rFonts w:eastAsia="Georgia" w:cs="Georgia" w:ascii="Georgia" w:hAnsi="Georgia"/>
        </w:rPr>
        <w:t xml:space="preserve"> sont étudiés (voir figure (9)).</w:t>
      </w:r>
    </w:p>
    <w:p>
      <w:pPr>
        <w:spacing w:lineRule="auto"/>
        <w:jc w:val="center"/>
      </w:pPr>
      <w:r>
        <w:rPr/>
        <w:drawing>
          <wp:inline distB="0" distL="0" distR="0" distT="0">
            <wp:extent cx="5486400" cy="1303827"/>
            <wp:effectExtent b="0" l="0" r="0" t="0"/>
            <wp:docPr id="10" name="image-2ad54835568cb46a2340321e6e6388257de7b87e.jpg"/>
            <a:graphic>
              <a:graphicData uri="http://schemas.openxmlformats.org/drawingml/2006/picture">
                <pic:pic>
                  <pic:nvPicPr>
                    <pic:cNvPr id="10" name="image-2ad54835568cb46a2340321e6e6388257de7b87e.jpg" descr=""/>
                    <pic:cNvPicPr/>
                  </pic:nvPicPr>
                  <pic:blipFill>
                    <a:blip r:embed="rId14" cstate="print"/>
                    <a:srcRect b="0" l="0" r="0" t="0"/>
                    <a:stretch>
                      <a:fillRect/>
                    </a:stretch>
                  </pic:blipFill>
                  <pic:spPr>
                    <a:xfrm>
                      <a:off x="0" y="0"/>
                      <a:ext cx="5486400" cy="1303827"/>
                    </a:xfrm>
                    <a:prstGeom prst="rect"/>
                  </pic:spPr>
                </pic:pic>
              </a:graphicData>
            </a:graphic>
          </wp:inline>
        </w:drawing>
      </w:r>
    </w:p>
    <w:p>
      <w:pPr>
        <w:spacing w:lineRule="auto"/>
      </w:pPr>
      <w:r>
        <w:rPr/>
        <w:t xml:space="preserve">Figure 9 - Cristaux liquides </w:t>
      </w:r>
      <m:oMath>
        <m:sSub>
          <m:sSubPr/>
          <m:e>
            <m:r>
              <m:rPr>
                <m:sty m:val="b"/>
              </m:rPr>
              <m:t>P</m:t>
            </m:r>
          </m:e>
          <m:sub>
            <m:r>
              <m:rPr>
                <m:sty m:val="p"/>
              </m:rPr>
              <m:t>6</m:t>
            </m:r>
          </m:sub>
        </m:sSub>
      </m:oMath>
      <w:r>
        <w:rPr/>
        <w:t xml:space="preserve"> et </w:t>
      </w:r>
      <m:oMath>
        <m:sSub>
          <m:sSubPr/>
          <m:e>
            <m:r>
              <m:rPr>
                <m:sty m:val="b"/>
              </m:rPr>
              <m:t>P</m:t>
            </m:r>
          </m:e>
          <m:sub>
            <m:r>
              <m:rPr>
                <m:sty m:val="p"/>
              </m:rPr>
              <m:t>7</m:t>
            </m:r>
          </m:sub>
        </m:sSub>
      </m:oMath>
      <w:r>
        <w:rPr/>
        <w:t xml:space="preserve">.</w:t>
      </w:r>
    </w:p>
    <w:p>
      <w:pPr>
        <w:spacing w:line="271" w:before="330" w:lineRule="auto"/>
      </w:pPr>
      <w:r>
        <w:rPr>
          <w:rFonts w:eastAsia="Georgia" w:cs="Georgia" w:ascii="Georgia" w:hAnsi="Georgia"/>
          <w:b/>
          <w:sz w:val="42"/>
        </w:rPr>
        <w:t xml:space="preserve">- Modélisation du processus de transport de charge dans un cristal liquide ionique.</w:t>
      </w:r>
    </w:p>
    <w:p>
      <w:pPr>
        <w:spacing w:after="220" w:lineRule="auto"/>
      </w:pPr>
      <w:r>
        <w:rPr>
          <w:rFonts w:eastAsia="Georgia" w:cs="Georgia" w:ascii="Georgia" w:hAnsi="Georgia"/>
        </w:rPr>
        <w:t xml:space="preserve">Trois modèles de transport de charge ont été proposés pour décrire la conduction de membranes électrolytes conçues à partir de ces cristaux liquides. Ils sont représentés figure (10).</w:t>
      </w:r>
    </w:p>
    <w:p>
      <w:pPr>
        <w:spacing w:lineRule="auto"/>
        <w:jc w:val="center"/>
      </w:pPr>
      <w:r>
        <w:rPr/>
        <w:drawing>
          <wp:inline distB="0" distL="0" distR="0" distT="0">
            <wp:extent cx="5486400" cy="2700234"/>
            <wp:effectExtent b="0" l="0" r="0" t="0"/>
            <wp:docPr id="11" name="image-af3d7dc53a7b063c31af8fa62de353fcaf3e888f.jpg"/>
            <a:graphic>
              <a:graphicData uri="http://schemas.openxmlformats.org/drawingml/2006/picture">
                <pic:pic>
                  <pic:nvPicPr>
                    <pic:cNvPr id="11" name="image-af3d7dc53a7b063c31af8fa62de353fcaf3e888f.jpg" descr=""/>
                    <pic:cNvPicPr/>
                  </pic:nvPicPr>
                  <pic:blipFill>
                    <a:blip r:embed="rId15" cstate="print"/>
                    <a:srcRect b="0" l="0" r="0" t="0"/>
                    <a:stretch>
                      <a:fillRect/>
                    </a:stretch>
                  </pic:blipFill>
                  <pic:spPr>
                    <a:xfrm>
                      <a:off x="0" y="0"/>
                      <a:ext cx="5486400" cy="2700234"/>
                    </a:xfrm>
                    <a:prstGeom prst="rect"/>
                  </pic:spPr>
                </pic:pic>
              </a:graphicData>
            </a:graphic>
          </wp:inline>
        </w:drawing>
      </w:r>
    </w:p>
    <w:p>
      <w:pPr>
        <w:spacing w:lineRule="auto"/>
      </w:pPr>
      <w:r>
        <w:rPr>
          <w:rFonts w:eastAsia="Georgia" w:cs="Georgia" w:ascii="Georgia" w:hAnsi="Georgia"/>
        </w:rPr>
        <w:t xml:space="preserve">Figure 10 - Représentation schématique des mécanismes de transport de charge envisagés dans le cas d'une membrane électrolyte cristal liquide ionique dans une pile au lithium.</w:t>
      </w:r>
    </w:p>
    <w:p>
      <w:pPr>
        <w:numPr>
          <w:ilvl w:val="0"/>
          <w:numId w:val="13"/>
        </w:numPr>
        <w:spacing w:lineRule="auto"/>
      </w:pPr>
      <w:r>
        <w:rPr>
          <w:rFonts w:eastAsia="Georgia" w:cs="Georgia" w:ascii="Georgia" w:hAnsi="Georgia"/>
        </w:rPr>
        <w:t xml:space="preserve">Mécanisme 1: les cations </w:t>
      </w:r>
      <m:oMath>
        <m:sSup>
          <m:sSupPr/>
          <m:e>
            <m:r>
              <m:rPr>
                <m:sty m:val="p"/>
              </m:rPr>
              <m:t>Li</m:t>
            </m:r>
          </m:e>
          <m:sup>
            <m:r>
              <m:rPr>
                <m:sty m:val="p"/>
              </m:rPr>
              <m:t>+</m:t>
            </m:r>
          </m:sup>
        </m:sSup>
      </m:oMath>
      <w:r>
        <w:rPr>
          <w:rFonts w:eastAsia="Georgia" w:cs="Georgia" w:ascii="Georgia" w:hAnsi="Georgia"/>
        </w:rPr>
        <w:t xml:space="preserve">interagissent fortement avec les molécules de cristal liquide qui les solvatent, et diffusent avec elles dans la membrane.</w:t>
      </w:r>
    </w:p>
    <w:p>
      <w:pPr>
        <w:numPr>
          <w:ilvl w:val="0"/>
          <w:numId w:val="13"/>
        </w:numPr>
        <w:spacing w:lineRule="auto"/>
      </w:pPr>
      <w:r>
        <w:rPr>
          <w:rFonts w:eastAsia="Georgia" w:cs="Georgia" w:ascii="Georgia" w:hAnsi="Georgia"/>
        </w:rPr>
        <w:t xml:space="preserve">Mécanisme 2 : le solvant cristal liquide ne peut pas dissocier les paires d'ions constituées du lithium et de son anion </w:t>
      </w:r>
      <m:oMath>
        <m:sSup>
          <m:sSupPr/>
          <m:e>
            <m:r>
              <m:rPr>
                <m:sty m:val="p"/>
              </m:rPr>
              <m:t>A</m:t>
            </m:r>
          </m:e>
          <m:sup>
            <m:r>
              <m:rPr>
                <m:sty m:val="p"/>
              </m:rPr>
              <m:t>−</m:t>
            </m:r>
          </m:sup>
        </m:sSup>
      </m:oMath>
      <w:r>
        <w:rPr/>
        <w:t xml:space="preserve">. </w:t>
      </w:r>
      <m:oMath>
        <m:sSup>
          <m:sSupPr/>
          <m:e>
            <m:r>
              <m:rPr>
                <m:sty m:val="p"/>
              </m:rPr>
              <m:t>Li</m:t>
            </m:r>
          </m:e>
          <m:sup>
            <m:r>
              <m:rPr>
                <m:sty m:val="p"/>
              </m:rPr>
              <m:t>+</m:t>
            </m:r>
          </m:sup>
        </m:sSup>
      </m:oMath>
      <w:r>
        <w:rPr>
          <w:rFonts w:eastAsia="Georgia" w:cs="Georgia" w:ascii="Georgia" w:hAnsi="Georgia"/>
        </w:rPr>
        <w:t xml:space="preserve">se déplace alors en interagissant avec des </w:t>
      </w:r>
      <m:oMath>
        <m:sSup>
          <m:sSupPr/>
          <m:e>
            <m:r>
              <m:rPr>
                <m:sty m:val="p"/>
              </m:rPr>
              <m:t>A</m:t>
            </m:r>
          </m:e>
          <m:sup>
            <m:r>
              <m:rPr>
                <m:sty m:val="p"/>
              </m:rPr>
              <m:t>−</m:t>
            </m:r>
          </m:sup>
        </m:sSup>
      </m:oMath>
      <w:r>
        <w:rPr/>
        <w:t xml:space="preserve">successifs.</w:t>
      </w:r>
      <w:r>
        <w:rPr/>
        <w:br w:type="textWrapping"/>
      </w:r>
      <w:r>
        <w:rPr>
          <w:rFonts w:eastAsia="Georgia" w:cs="Georgia" w:ascii="Georgia" w:hAnsi="Georgia"/>
        </w:rPr>
        <w:t xml:space="preserve">Mécanisme 3 : le solvant cristal liquide est dissociant, mais il ne coordine pas fortement l'ion </w:t>
      </w:r>
      <m:oMath>
        <m:sSup>
          <m:sSupPr/>
          <m:e>
            <m:r>
              <m:rPr>
                <m:sty m:val="p"/>
              </m:rPr>
              <m:t>Li</m:t>
            </m:r>
          </m:e>
          <m:sup>
            <m:r>
              <m:rPr>
                <m:sty m:val="p"/>
              </m:rPr>
              <m:t>+</m:t>
            </m:r>
          </m:sup>
        </m:sSup>
      </m:oMath>
      <w:r>
        <w:rPr>
          <w:rFonts w:eastAsia="Georgia" w:cs="Georgia" w:ascii="Georgia" w:hAnsi="Georgia"/>
        </w:rPr>
        <w:t xml:space="preserve">. Le cation se déplace donc de chaîne PEO (poly(oxyéthylène)) en chaîne PEO. Ce mode de transport implique que les segments éthoxy du cristal liquide se réorientent rapidement pour venir "capter" un cation puis le libérer ensuite.</w:t>
      </w:r>
    </w:p>
    <w:p>
      <w:pPr>
        <w:spacing w:after="220" w:lineRule="auto"/>
      </w:pPr>
      <w:r>
        <w:rPr>
          <w:rFonts w:eastAsia="Georgia" w:cs="Georgia" w:ascii="Georgia" w:hAnsi="Georgia"/>
        </w:rPr>
        <w:t xml:space="preserve">Afin d'obtenir un cristal liquide ionique présentant une propriété de transport de charge optimale, différents sels de type ( </w:t>
      </w:r>
      <m:oMath>
        <m:sSup>
          <m:sSupPr/>
          <m:e>
            <m:r>
              <m:rPr>
                <m:sty m:val="p"/>
              </m:rPr>
              <m:t>Li</m:t>
            </m:r>
          </m:e>
          <m:sup>
            <m:r>
              <m:rPr>
                <m:sty m:val="p"/>
              </m:rPr>
              <m:t>+</m:t>
            </m:r>
          </m:sup>
        </m:sSup>
        <m:r>
          <m:rPr>
            <m:sty m:val="p"/>
          </m:rPr>
          <m:t>,</m:t>
        </m:r>
        <m:sSup>
          <m:sSupPr/>
          <m:e>
            <m:r>
              <m:rPr>
                <m:sty m:val="p"/>
              </m:rPr>
              <m:t>A</m:t>
            </m:r>
          </m:e>
          <m:sup>
            <m:r>
              <m:rPr>
                <m:sty m:val="p"/>
              </m:rPr>
              <m:t>−</m:t>
            </m:r>
          </m:sup>
        </m:sSup>
      </m:oMath>
      <w:r>
        <w:rPr>
          <w:rFonts w:eastAsia="Georgia" w:cs="Georgia" w:ascii="Georgia" w:hAnsi="Georgia"/>
        </w:rPr>
        <w:t xml:space="preserve">), où </w:t>
      </w:r>
      <m:oMath>
        <m:sSup>
          <m:sSupPr/>
          <m:e>
            <m:r>
              <m:rPr>
                <m:sty m:val="p"/>
              </m:rPr>
              <m:t>A</m:t>
            </m:r>
          </m:e>
          <m:sup>
            <m:r>
              <m:rPr>
                <m:sty m:val="p"/>
              </m:rPr>
              <m:t>−</m:t>
            </m:r>
          </m:sup>
        </m:sSup>
        <m:r>
          <m:rPr>
            <m:sty m:val="p"/>
          </m:rPr>
          <m:t>=</m:t>
        </m:r>
        <m:sSup>
          <m:sSupPr/>
          <m:e>
            <m:r>
              <m:rPr>
                <m:sty m:val="p"/>
              </m:rPr>
              <m:t>Cl</m:t>
            </m:r>
          </m:e>
          <m:sup>
            <m:r>
              <m:rPr>
                <m:sty m:val="p"/>
              </m:rPr>
              <m:t>−</m:t>
            </m:r>
          </m:sup>
        </m:sSup>
      </m:oMath>
      <w:r>
        <w:rPr/>
        <w:t xml:space="preserve">(chlorure), </w:t>
      </w:r>
      <m:oMath>
        <m:sSubSup>
          <m:sSubSupPr/>
          <m:e>
            <m:r>
              <m:rPr>
                <m:sty m:val="p"/>
              </m:rPr>
              <m:t>BF</m:t>
            </m:r>
          </m:e>
          <m:sub>
            <m:r>
              <m:rPr>
                <m:sty m:val="p"/>
              </m:rPr>
              <m:t>4</m:t>
            </m:r>
          </m:sub>
          <m:sup>
            <m:r>
              <m:rPr>
                <m:sty m:val="p"/>
              </m:rPr>
              <m:t>−</m:t>
            </m:r>
          </m:sup>
        </m:sSubSup>
      </m:oMath>
      <w:r>
        <w:rPr/>
        <w:t xml:space="preserve">(tetrafluoroborate), </w:t>
      </w:r>
      <m:oMath>
        <m:sSubSup>
          <m:sSubSupPr/>
          <m:e>
            <m:r>
              <m:rPr>
                <m:sty m:val="p"/>
              </m:rPr>
              <m:t>ClO</m:t>
            </m:r>
          </m:e>
          <m:sub>
            <m:r>
              <m:rPr>
                <m:sty m:val="p"/>
              </m:rPr>
              <m:t>4</m:t>
            </m:r>
          </m:sub>
          <m:sup>
            <m:r>
              <m:rPr>
                <m:sty m:val="p"/>
              </m:rPr>
              <m:t>−</m:t>
            </m:r>
          </m:sup>
        </m:sSubSup>
      </m:oMath>
      <w:r>
        <w:rPr/>
        <w:t xml:space="preserve"> (perchlorate), </w:t>
      </w:r>
      <m:oMath>
        <m:sSub>
          <m:sSubPr/>
          <m:e>
            <m:r>
              <m:rPr>
                <m:sty m:val="p"/>
              </m:rPr>
              <m:t>CF</m:t>
            </m:r>
          </m:e>
          <m:sub>
            <m:r>
              <m:rPr>
                <m:sty m:val="p"/>
              </m:rPr>
              <m:t>3</m:t>
            </m:r>
          </m:sub>
        </m:sSub>
        <m:sSubSup>
          <m:sSubSupPr/>
          <m:e>
            <m:r>
              <m:rPr>
                <m:sty m:val="p"/>
              </m:rPr>
              <m:t>SO</m:t>
            </m:r>
          </m:e>
          <m:sub>
            <m:r>
              <m:rPr>
                <m:sty m:val="p"/>
              </m:rPr>
              <m:t>3</m:t>
            </m:r>
          </m:sub>
          <m:sup>
            <m:r>
              <m:rPr>
                <m:sty m:val="p"/>
              </m:rPr>
              <m:t>−</m:t>
            </m:r>
          </m:sup>
        </m:sSubSup>
      </m:oMath>
      <w:r>
        <w:rPr/>
        <w:t xml:space="preserve">(triflate, ou </w:t>
      </w:r>
      <m:oMath>
        <m:sSup>
          <m:sSupPr/>
          <m:e>
            <m:r>
              <m:rPr>
                <m:sty m:val="p"/>
              </m:rPr>
              <m:t>Tf</m:t>
            </m:r>
          </m:e>
          <m:sup>
            <m:r>
              <m:rPr>
                <m:sty m:val="p"/>
              </m:rPr>
              <m:t>−</m:t>
            </m:r>
          </m:sup>
        </m:sSup>
      </m:oMath>
      <w:r>
        <w:rPr/>
        <w:t xml:space="preserve">), et </w:t>
      </w:r>
      <m:oMath>
        <m:r>
          <m:rPr>
            <m:sty m:val="p"/>
          </m:rPr>
          <m:t>N</m:t>
        </m:r>
        <m:sSubSup>
          <m:sSubSupPr/>
          <m:e>
            <m:d>
              <m:dPr>
                <m:begChr m:val="("/>
                <m:endChr m:val=")"/>
                <m:ctrlPr>
                  <w:rPr>
                    <w:rFonts w:ascii="Cambria Math" w:hAnsi="Cambria Math"/>
                  </w:rPr>
                </m:ctrlPr>
              </m:dPr>
              <m:e>
                <m:sSub>
                  <m:sSubPr/>
                  <m:e>
                    <m:r>
                      <m:rPr>
                        <m:sty m:val="p"/>
                      </m:rPr>
                      <m:t>CF</m:t>
                    </m:r>
                  </m:e>
                  <m:sub>
                    <m:r>
                      <m:rPr>
                        <m:sty m:val="p"/>
                      </m:rPr>
                      <m:t>3</m:t>
                    </m:r>
                  </m:sub>
                </m:sSub>
                <m:sSub>
                  <m:sSubPr/>
                  <m:e>
                    <m:r>
                      <m:rPr>
                        <m:sty m:val="p"/>
                      </m:rPr>
                      <m:t>SO</m:t>
                    </m:r>
                  </m:e>
                  <m:sub>
                    <m:r>
                      <m:rPr>
                        <m:sty m:val="p"/>
                      </m:rPr>
                      <m:t>2</m:t>
                    </m:r>
                  </m:sub>
                </m:sSub>
              </m:e>
            </m:d>
          </m:e>
          <m:sub>
            <m:r>
              <m:rPr>
                <m:sty m:val="p"/>
              </m:rPr>
              <m:t>2</m:t>
            </m:r>
          </m:sub>
          <m:sup>
            <m:r>
              <m:rPr>
                <m:sty m:val="p"/>
              </m:rPr>
              <m:t>−</m:t>
            </m:r>
          </m:sup>
        </m:sSubSup>
      </m:oMath>
      <w:r>
        <w:rPr>
          <w:rFonts w:eastAsia="Georgia" w:cs="Georgia" w:ascii="Georgia" w:hAnsi="Georgia"/>
        </w:rPr>
        <w:t xml:space="preserve">(bis(trifluorométhyl)sulfonimidure, ou </w:t>
      </w:r>
      <m:oMath>
        <m:sSup>
          <m:sSupPr/>
          <m:e>
            <m:r>
              <m:rPr>
                <m:sty m:val="p"/>
              </m:rPr>
              <m:t>NTFSi</m:t>
            </m:r>
          </m:e>
          <m:sup>
            <m:r>
              <m:rPr>
                <m:sty m:val="p"/>
              </m:rPr>
              <m:t>−</m:t>
            </m:r>
          </m:sup>
        </m:sSup>
      </m:oMath>
      <w:r>
        <w:rPr>
          <w:rFonts w:eastAsia="Georgia" w:cs="Georgia" w:ascii="Georgia" w:hAnsi="Georgia"/>
        </w:rPr>
        <w:t xml:space="preserve">) sont étudiés.</w:t>
      </w:r>
      <w:r>
        <w:rPr/>
        <w:br w:type="textWrapping"/>
      </w:r>
      <w:r>
        <w:rPr/>
        <w:t xml:space="preserve">24. Dessiner la structure de Lewis de chaque anion compris dans ces sels.</w:t>
      </w:r>
      <w:r>
        <w:rPr/>
        <w:br w:type="textWrapping"/>
      </w:r>
      <w:r>
        <w:rPr>
          <w:rFonts w:eastAsia="Georgia" w:cs="Georgia" w:ascii="Georgia" w:hAnsi="Georgia"/>
        </w:rPr>
        <w:t xml:space="preserve">25. A priori, quelle peut être l'influence de chacun de ces différents anions sur le processus de transport de charge?</w:t>
      </w:r>
      <w:r>
        <w:rPr/>
        <w:br w:type="textWrapping"/>
      </w:r>
      <w:r>
        <w:rPr>
          <w:rFonts w:eastAsia="Georgia" w:cs="Georgia" w:ascii="Georgia" w:hAnsi="Georgia"/>
        </w:rPr>
        <w:t xml:space="preserve">26. Pour chaque mécanisme ( 1,2 et 3 ), prédire quelles seront les molécules ( </w:t>
      </w:r>
      <m:oMath>
        <m:sSup>
          <m:sSupPr/>
          <m:e>
            <m:r>
              <m:rPr>
                <m:sty m:val="p"/>
              </m:rPr>
              <m:t>Li</m:t>
            </m:r>
          </m:e>
          <m:sup>
            <m:r>
              <m:rPr>
                <m:sty m:val="p"/>
              </m:rPr>
              <m:t>+</m:t>
            </m:r>
          </m:sup>
        </m:sSup>
        <m:r>
          <m:rPr>
            <m:sty m:val="p"/>
          </m:rPr>
          <m:t>,</m:t>
        </m:r>
        <m:sSup>
          <m:sSupPr/>
          <m:e>
            <m:r>
              <m:rPr>
                <m:sty m:val="p"/>
              </m:rPr>
              <m:t>A</m:t>
            </m:r>
          </m:e>
          <m:sup>
            <m:r>
              <m:rPr>
                <m:sty m:val="p"/>
              </m:rPr>
              <m:t>−</m:t>
            </m:r>
          </m:sup>
        </m:sSup>
      </m:oMath>
      <w:r>
        <w:rPr/>
        <w:t xml:space="preserve">, cristal liquide) qui seront susceptibles de diffuser ensemble, et quelles diffuseront le plus rapidement.</w:t>
      </w:r>
    </w:p>
    <w:p>
      <w:pPr>
        <w:numPr>
          <w:ilvl w:val="0"/>
          <w:numId w:val="14"/>
        </w:numPr>
        <w:spacing w:lineRule="auto"/>
      </w:pPr>
      <w:r>
        <w:rPr>
          <w:rFonts w:eastAsia="Georgia" w:cs="Georgia" w:ascii="Georgia" w:hAnsi="Georgia"/>
        </w:rPr>
        <w:t xml:space="preserve">Mesure de la conductivité ionique des membranes électrolytes.</w:t>
      </w:r>
    </w:p>
    <w:p>
      <w:pPr>
        <w:spacing w:after="220" w:lineRule="auto"/>
      </w:pPr>
      <w:r>
        <w:rPr>
          <w:rFonts w:eastAsia="Georgia" w:cs="Georgia" w:ascii="Georgia" w:hAnsi="Georgia"/>
        </w:rPr>
        <w:t xml:space="preserve">Dans un premier temps, on mesure la variation de la conductivité </w:t>
      </w:r>
      <m:oMath>
        <m:r>
          <m:rPr>
            <m:sty m:val="i"/>
          </m:rPr>
          <m:t>σ</m:t>
        </m:r>
      </m:oMath>
      <w:r>
        <w:rPr/>
        <w:t xml:space="preserve"> des cristaux liquides ioniques </w:t>
      </w:r>
      <m:oMath>
        <m:sSub>
          <m:sSubPr/>
          <m:e>
            <m:r>
              <m:rPr>
                <m:sty m:val="b"/>
              </m:rPr>
              <m:t>P</m:t>
            </m:r>
          </m:e>
          <m:sub>
            <m:r>
              <m:rPr>
                <m:sty m:val="p"/>
              </m:rPr>
              <m:t>6</m:t>
            </m:r>
          </m:sub>
        </m:sSub>
      </m:oMath>
      <w:r>
        <w:rPr/>
        <w:t xml:space="preserve"> et </w:t>
      </w:r>
      <m:oMath>
        <m:sSub>
          <m:sSubPr/>
          <m:e>
            <m:r>
              <m:rPr>
                <m:sty m:val="b"/>
              </m:rPr>
              <m:t>P</m:t>
            </m:r>
          </m:e>
          <m:sub>
            <m:r>
              <m:rPr>
                <m:sty m:val="p"/>
              </m:rPr>
              <m:t>7</m:t>
            </m:r>
          </m:sub>
        </m:sSub>
      </m:oMath>
      <w:r>
        <w:rPr>
          <w:rFonts w:eastAsia="Georgia" w:cs="Georgia" w:ascii="Georgia" w:hAnsi="Georgia"/>
        </w:rPr>
        <w:t xml:space="preserve"> dans lesquels a été dissoute la même quantité de LiCl , en fonction de la température (dans chaque cas, le rapport molaire nématogène : sel est de </w:t>
      </w:r>
      <m:oMath>
        <m:r>
          <m:rPr>
            <m:sty m:val="p"/>
          </m:rPr>
          <m:t>5</m:t>
        </m:r>
        <m:r>
          <m:rPr>
            <m:sty m:val="p"/>
          </m:rPr>
          <m:t>:</m:t>
        </m:r>
        <m:r>
          <m:rPr>
            <m:sty m:val="p"/>
          </m:rPr>
          <m:t>1</m:t>
        </m:r>
      </m:oMath>
      <w:r>
        <w:rPr>
          <w:rFonts w:eastAsia="Georgia" w:cs="Georgia" w:ascii="Georgia" w:hAnsi="Georgia"/>
        </w:rPr>
        <w:t xml:space="preserve"> ). On obtient les courbes d'évolution représentées figure (11).</w:t>
      </w:r>
    </w:p>
    <w:p>
      <w:pPr>
        <w:spacing w:lineRule="auto"/>
        <w:jc w:val="center"/>
      </w:pPr>
      <w:r>
        <w:rPr/>
        <w:drawing>
          <wp:inline distB="0" distL="0" distR="0" distT="0">
            <wp:extent cx="5486400" cy="3272839"/>
            <wp:effectExtent b="0" l="0" r="0" t="0"/>
            <wp:docPr id="12" name="image-30d06ea8384a281d0d55c62de51148513f6fb4b2.jpg"/>
            <a:graphic>
              <a:graphicData uri="http://schemas.openxmlformats.org/drawingml/2006/picture">
                <pic:pic>
                  <pic:nvPicPr>
                    <pic:cNvPr id="12" name="image-30d06ea8384a281d0d55c62de51148513f6fb4b2.jpg" descr=""/>
                    <pic:cNvPicPr/>
                  </pic:nvPicPr>
                  <pic:blipFill>
                    <a:blip r:embed="rId16" cstate="print"/>
                    <a:srcRect b="0" l="0" r="0" t="0"/>
                    <a:stretch>
                      <a:fillRect/>
                    </a:stretch>
                  </pic:blipFill>
                  <pic:spPr>
                    <a:xfrm>
                      <a:off x="0" y="0"/>
                      <a:ext cx="5486400" cy="3272839"/>
                    </a:xfrm>
                    <a:prstGeom prst="rect"/>
                  </pic:spPr>
                </pic:pic>
              </a:graphicData>
            </a:graphic>
          </wp:inline>
        </w:drawing>
      </w:r>
    </w:p>
    <w:p>
      <w:pPr>
        <w:spacing w:lineRule="auto"/>
      </w:pPr>
      <w:r>
        <w:rPr>
          <w:rFonts w:eastAsia="Georgia" w:cs="Georgia" w:ascii="Georgia" w:hAnsi="Georgia"/>
        </w:rPr>
        <w:t xml:space="preserve">Figure 11 - Évolution de la conductivité (exprimée en </w:t>
      </w:r>
      <m:oMath>
        <m:r>
          <m:rPr>
            <m:sty m:val="p"/>
          </m:rPr>
          <m:t>S</m:t>
        </m:r>
        <m:r>
          <m:rPr>
            <m:sty m:val="p"/>
          </m:rPr>
          <m:t>⋅</m:t>
        </m:r>
        <m:sSup>
          <m:sSupPr/>
          <m:e>
            <m:r>
              <m:rPr>
                <m:sty m:val="p"/>
              </m:rPr>
              <m:t>m</m:t>
            </m:r>
          </m:e>
          <m:sup>
            <m:r>
              <m:rPr>
                <m:sty m:val="p"/>
              </m:rPr>
              <m:t>−</m:t>
            </m:r>
            <m:r>
              <m:rPr>
                <m:sty m:val="p"/>
              </m:rPr>
              <m:t>1</m:t>
            </m:r>
          </m:sup>
        </m:sSup>
      </m:oMath>
      <w:r>
        <w:rPr>
          <w:rFonts w:eastAsia="Georgia" w:cs="Georgia" w:ascii="Georgia" w:hAnsi="Georgia"/>
        </w:rPr>
        <w:t xml:space="preserve"> ) des cristaux liquides ioniques constitués respectivement des molécules </w:t>
      </w:r>
      <m:oMath>
        <m:sSub>
          <m:sSubPr/>
          <m:e>
            <m:r>
              <m:rPr>
                <m:sty m:val="b"/>
              </m:rPr>
              <m:t>P</m:t>
            </m:r>
          </m:e>
          <m:sub>
            <m:r>
              <m:rPr>
                <m:sty m:val="p"/>
              </m:rPr>
              <m:t>6</m:t>
            </m:r>
          </m:sub>
        </m:sSub>
      </m:oMath>
      <w:r>
        <w:rPr/>
        <w:t xml:space="preserve"> et </w:t>
      </w:r>
      <m:oMath>
        <m:sSub>
          <m:sSubPr/>
          <m:e>
            <m:r>
              <m:rPr>
                <m:sty m:val="b"/>
              </m:rPr>
              <m:t>P</m:t>
            </m:r>
          </m:e>
          <m:sub>
            <m:r>
              <m:rPr>
                <m:sty m:val="p"/>
              </m:rPr>
              <m:t>7</m:t>
            </m:r>
          </m:sub>
        </m:sSub>
      </m:oMath>
      <w:r>
        <w:rPr>
          <w:rFonts w:eastAsia="Georgia" w:cs="Georgia" w:ascii="Georgia" w:hAnsi="Georgia"/>
        </w:rPr>
        <w:t xml:space="preserve">, et de la même quantité de sel dissout LiCl.</w:t>
      </w:r>
    </w:p>
    <w:p>
      <w:pPr>
        <w:numPr>
          <w:ilvl w:val="0"/>
          <w:numId w:val="15"/>
        </w:numPr>
        <w:spacing w:lineRule="auto"/>
      </w:pPr>
      <w:r>
        <w:rPr>
          <w:rFonts w:eastAsia="Georgia" w:cs="Georgia" w:ascii="Georgia" w:hAnsi="Georgia"/>
        </w:rPr>
        <w:t xml:space="preserve">Rappeler la relation entre la conductivité </w:t>
      </w:r>
      <m:oMath>
        <m:r>
          <m:rPr>
            <m:sty m:val="i"/>
          </m:rPr>
          <m:t>σ</m:t>
        </m:r>
      </m:oMath>
      <w:r>
        <w:rPr>
          <w:rFonts w:eastAsia="Georgia" w:cs="Georgia" w:ascii="Georgia" w:hAnsi="Georgia"/>
        </w:rPr>
        <w:t xml:space="preserve"> de la solution, les conductivités molaires ioniques </w:t>
      </w:r>
      <m:oMath>
        <m:sSub>
          <m:sSubPr/>
          <m:e>
            <m:r>
              <m:rPr>
                <m:sty m:val="i"/>
              </m:rPr>
              <m:t>λ</m:t>
            </m:r>
          </m:e>
          <m:sub>
            <m:r>
              <m:rPr>
                <m:sty m:val="i"/>
              </m:rPr>
              <m:t>i</m:t>
            </m:r>
          </m:sub>
        </m:sSub>
      </m:oMath>
      <w:r>
        <w:rPr/>
        <w:t xml:space="preserve"> et les concentrations </w:t>
      </w:r>
      <m:oMath>
        <m:d>
          <m:dPr>
            <m:begChr m:val="["/>
            <m:endChr m:val="]"/>
            <m:ctrlPr>
              <w:rPr>
                <w:rFonts w:ascii="Cambria Math" w:hAnsi="Cambria Math"/>
              </w:rPr>
            </m:ctrlPr>
          </m:dPr>
          <m:e>
            <m:sSub>
              <m:sSubPr/>
              <m:e>
                <m:r>
                  <m:rPr>
                    <m:sty m:val="p"/>
                  </m:rPr>
                  <m:t>X</m:t>
                </m:r>
              </m:e>
              <m:sub>
                <m:r>
                  <m:rPr>
                    <m:sty m:val="i"/>
                  </m:rPr>
                  <m:t>i</m:t>
                </m:r>
              </m:sub>
            </m:sSub>
          </m:e>
        </m:d>
        <m:d>
          <m:dPr>
            <m:begChr m:val="("/>
            <m:endChr m:val=")"/>
            <m:ctrlPr>
              <w:rPr>
                <w:rFonts w:ascii="Cambria Math" w:hAnsi="Cambria Math"/>
              </w:rPr>
            </m:ctrlPr>
          </m:dPr>
          <m:e>
            <m:r>
              <m:rPr>
                <m:sty m:val="p"/>
              </m:rPr>
              <m:t>en</m:t>
            </m:r>
            <m:r>
              <m:rPr>
                <m:sty m:val="p"/>
              </m:rPr>
              <m:t>mol</m:t>
            </m:r>
            <m:r>
              <m:rPr>
                <m:sty m:val="p"/>
              </m:rPr>
              <m:t>⋅</m:t>
            </m:r>
            <m:sSup>
              <m:sSupPr/>
              <m:e>
                <m:r>
                  <m:rPr>
                    <m:sty m:val="p"/>
                  </m:rPr>
                  <m:t>m</m:t>
                </m:r>
              </m:e>
              <m:sup>
                <m:r>
                  <m:rPr>
                    <m:sty m:val="p"/>
                  </m:rPr>
                  <m:t>−</m:t>
                </m:r>
                <m:r>
                  <m:rPr>
                    <m:sty m:val="p"/>
                  </m:rPr>
                  <m:t>3</m:t>
                </m:r>
              </m:sup>
            </m:sSup>
          </m:e>
        </m:d>
      </m:oMath>
      <w:r>
        <w:rPr>
          <w:rFonts w:eastAsia="Georgia" w:cs="Georgia" w:ascii="Georgia" w:hAnsi="Georgia"/>
        </w:rPr>
        <w:t xml:space="preserve"> des espèces ioniques présentes dans la solution.</w:t>
      </w:r>
    </w:p>
    <w:p>
      <w:pPr>
        <w:numPr>
          <w:ilvl w:val="0"/>
          <w:numId w:val="15"/>
        </w:numPr>
        <w:spacing w:lineRule="auto"/>
      </w:pPr>
      <w:r>
        <w:rPr>
          <w:rFonts w:eastAsia="Georgia" w:cs="Georgia" w:ascii="Georgia" w:hAnsi="Georgia"/>
        </w:rPr>
        <w:t xml:space="preserve">Commenter l'évolution des courbes représentées figure (11). Qu'en déduit-on concernant la mobilité des ions dans chaque membrane électrolyte?</w:t>
      </w:r>
    </w:p>
    <w:p>
      <w:pPr>
        <w:spacing w:after="220" w:lineRule="auto"/>
      </w:pPr>
      <w:r>
        <w:rPr>
          <w:rFonts w:eastAsia="Georgia" w:cs="Georgia" w:ascii="Georgia" w:hAnsi="Georgia"/>
        </w:rPr>
        <w:t xml:space="preserve">On rappelle que la loi d'Arrhenius, appliquée à la conductivité ionique, s'écrit :</w:t>
      </w:r>
    </w:p>
    <w:p>
      <w:pPr>
        <w:spacing w:after="220" w:lineRule="auto"/>
      </w:pPr>
      <m:oMathPara>
        <m:oMath>
          <m:r>
            <m:rPr>
              <m:sty m:val="i"/>
            </m:rPr>
            <m:t>σ</m:t>
          </m:r>
          <m:r>
            <m:rPr>
              <m:sty m:val="p"/>
            </m:rPr>
            <m:t>(</m:t>
          </m:r>
          <m:r>
            <m:rPr>
              <m:sty m:val="i"/>
            </m:rPr>
            <m:t>T</m:t>
          </m:r>
          <m:r>
            <m:rPr>
              <m:sty m:val="p"/>
            </m:rPr>
            <m:t>)</m:t>
          </m:r>
          <m:r>
            <m:rPr>
              <m:sty m:val="p"/>
            </m:rPr>
            <m:t>=</m:t>
          </m:r>
          <m:sSub>
            <m:sSubPr/>
            <m:e>
              <m:r>
                <m:rPr>
                  <m:sty m:val="i"/>
                </m:rPr>
                <m:t>σ</m:t>
              </m:r>
            </m:e>
            <m:sub>
              <m:r>
                <m:rPr>
                  <m:sty m:val="p"/>
                </m:rPr>
                <m:t>0</m:t>
              </m:r>
            </m:sub>
          </m:sSub>
          <m:r>
            <m:rPr>
              <m:sty m:val="p"/>
            </m:rPr>
            <m:t>exp</m:t>
          </m:r>
          <m:r>
            <m:rPr>
              <m:sty m:val="p"/>
            </m:rPr>
            <m:t>⁡</m:t>
          </m:r>
          <m:d>
            <m:dPr>
              <m:begChr m:val="("/>
              <m:endChr m:val=")"/>
              <m:ctrlPr>
                <w:rPr>
                  <w:rFonts w:ascii="Cambria Math" w:hAnsi="Cambria Math"/>
                </w:rPr>
              </m:ctrlPr>
            </m:dPr>
            <m:e>
              <m:f>
                <m:fPr>
                  <m:ctrlPr>
                    <w:rPr>
                      <w:rFonts w:ascii="Cambria Math" w:hAnsi="Cambria Math"/>
                    </w:rPr>
                  </m:ctrlPr>
                </m:fPr>
                <m:num>
                  <m:r>
                    <m:rPr>
                      <m:sty m:val="p"/>
                    </m:rPr>
                    <m:t>−</m:t>
                  </m:r>
                  <m:sSub>
                    <m:sSubPr/>
                    <m:e>
                      <m:r>
                        <m:rPr>
                          <m:sty m:val="i"/>
                        </m:rPr>
                        <m:t>E</m:t>
                      </m:r>
                    </m:e>
                    <m:sub>
                      <m:r>
                        <m:rPr>
                          <m:sty m:val="i"/>
                        </m:rPr>
                        <m:t>a</m:t>
                      </m:r>
                    </m:sub>
                  </m:sSub>
                </m:num>
                <m:den>
                  <m:r>
                    <m:rPr>
                      <m:sty m:val="i"/>
                    </m:rPr>
                    <m:t>R</m:t>
                  </m:r>
                  <m:r>
                    <m:rPr>
                      <m:sty m:val="i"/>
                    </m:rPr>
                    <m:t>T</m:t>
                  </m:r>
                </m:den>
              </m:f>
            </m:e>
          </m:d>
          <m:r>
            <m:rPr>
              <m:sty m:val="p"/>
            </m:rPr>
            <m:t>,</m:t>
          </m:r>
        </m:oMath>
      </m:oMathPara>
    </w:p>
    <w:p>
      <w:pPr>
        <w:spacing w:after="220" w:lineRule="auto"/>
      </w:pPr>
      <w:r>
        <w:rPr>
          <w:rFonts w:eastAsia="Georgia" w:cs="Georgia" w:ascii="Georgia" w:hAnsi="Georgia"/>
        </w:rPr>
        <w:t xml:space="preserve">où </w:t>
      </w:r>
      <m:oMath>
        <m:r>
          <m:rPr>
            <m:sty m:val="i"/>
          </m:rPr>
          <m:t>R</m:t>
        </m:r>
        <m:r>
          <m:rPr>
            <m:sty m:val="p"/>
          </m:rPr>
          <m:t>≃</m:t>
        </m:r>
        <m:r>
          <m:rPr>
            <m:sty m:val="p"/>
          </m:rPr>
          <m:t>8</m:t>
        </m:r>
        <m:r>
          <m:rPr>
            <m:sty m:val="p"/>
          </m:rPr>
          <m:t>,</m:t>
        </m:r>
        <m:r>
          <m:rPr>
            <m:sty m:val="p"/>
          </m:rPr>
          <m:t>3</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est la constante des gaz parfaits et </w:t>
      </w:r>
      <m:oMath>
        <m:r>
          <m:rPr>
            <m:sty m:val="i"/>
          </m:rPr>
          <m:t>T</m:t>
        </m:r>
      </m:oMath>
      <w:r>
        <w:rPr>
          <w:rFonts w:eastAsia="Georgia" w:cs="Georgia" w:ascii="Georgia" w:hAnsi="Georgia"/>
        </w:rPr>
        <w:t xml:space="preserve"> la température (en Kelvin).</w:t>
      </w:r>
      <w:r>
        <w:rPr/>
        <w:br w:type="textWrapping"/>
      </w:r>
      <w:r>
        <w:rPr>
          <w:rFonts w:eastAsia="Georgia" w:cs="Georgia" w:ascii="Georgia" w:hAnsi="Georgia"/>
        </w:rPr>
        <w:t xml:space="preserve">29. Dans la gamme de température étudiée ci-dessus, la conductivité suit-elle une loi d'Arrhenius? Que représentent </w:t>
      </w:r>
      <m:oMath>
        <m:sSub>
          <m:sSubPr/>
          <m:e>
            <m:r>
              <m:rPr>
                <m:sty m:val="i"/>
              </m:rPr>
              <m:t>E</m:t>
            </m:r>
          </m:e>
          <m:sub>
            <m:r>
              <m:rPr>
                <m:sty m:val="i"/>
              </m:rPr>
              <m:t>a</m:t>
            </m:r>
          </m:sub>
        </m:sSub>
      </m:oMath>
      <w:r>
        <w:rPr/>
        <w:t xml:space="preserve"> et </w:t>
      </w:r>
      <m:oMath>
        <m:sSub>
          <m:sSubPr/>
          <m:e>
            <m:r>
              <m:rPr>
                <m:sty m:val="i"/>
              </m:rPr>
              <m:t>σ</m:t>
            </m:r>
          </m:e>
          <m:sub>
            <m:r>
              <m:rPr>
                <m:sty m:val="p"/>
              </m:rPr>
              <m:t>0</m:t>
            </m:r>
          </m:sub>
        </m:sSub>
      </m:oMath>
      <w:r>
        <w:rPr/>
        <w:t xml:space="preserve"> ?</w:t>
      </w:r>
      <w:r>
        <w:rPr/>
        <w:br w:type="textWrapping"/>
      </w:r>
      <w:r>
        <w:rPr>
          <w:rFonts w:eastAsia="Georgia" w:cs="Georgia" w:ascii="Georgia" w:hAnsi="Georgia"/>
        </w:rPr>
        <w:t xml:space="preserve">30. On donne l'équation des deux droites passant par les ensembles de points représentés sur le graphe de la figure (11)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b"/>
                          </m:rPr>
                          <m:t>P</m:t>
                        </m:r>
                      </m:e>
                      <m:sub>
                        <m:r>
                          <m:rPr>
                            <m:sty m:val="p"/>
                          </m:rPr>
                          <m:t>6</m:t>
                        </m:r>
                      </m:sub>
                    </m:sSub>
                    <m:r>
                      <m:rPr>
                        <m:sty m:val="p"/>
                      </m:rPr>
                      <m:t>:</m:t>
                    </m:r>
                  </m:e>
                  <m:e>
                    <m:r>
                      <m:rPr>
                        <m:sty m:val="i"/>
                      </m:rPr>
                      <m:t>y</m:t>
                    </m:r>
                    <m:r>
                      <m:rPr>
                        <m:sty m:val="p"/>
                      </m:rPr>
                      <m:t>=</m:t>
                    </m:r>
                    <m:r>
                      <m:rPr>
                        <m:sty m:val="p"/>
                      </m:rPr>
                      <m:t>−</m:t>
                    </m:r>
                    <m:r>
                      <m:rPr>
                        <m:sty m:val="p"/>
                      </m:rPr>
                      <m:t>0</m:t>
                    </m:r>
                    <m:r>
                      <m:rPr>
                        <m:sty m:val="p"/>
                      </m:rPr>
                      <m:t>,</m:t>
                    </m:r>
                    <m:r>
                      <m:rPr>
                        <m:sty m:val="p"/>
                      </m:rPr>
                      <m:t>11</m:t>
                    </m:r>
                    <m:r>
                      <m:rPr>
                        <m:sty m:val="i"/>
                      </m:rPr>
                      <m:t>x</m:t>
                    </m:r>
                    <m:r>
                      <m:rPr>
                        <m:sty m:val="p"/>
                      </m:rPr>
                      <m:t>−</m:t>
                    </m:r>
                    <m:r>
                      <m:rPr>
                        <m:sty m:val="p"/>
                      </m:rPr>
                      <m:t>4</m:t>
                    </m:r>
                    <m:r>
                      <m:rPr>
                        <m:sty m:val="p"/>
                      </m:rPr>
                      <m:t>,</m:t>
                    </m:r>
                    <m:r>
                      <m:rPr>
                        <m:sty m:val="p"/>
                      </m:rPr>
                      <m:t>74</m:t>
                    </m:r>
                  </m:e>
                </m:mr>
                <m:mr>
                  <m:e>
                    <m:sSub>
                      <m:sSubPr/>
                      <m:e>
                        <m:r>
                          <m:rPr>
                            <m:sty m:val="b"/>
                          </m:rPr>
                          <m:t>P</m:t>
                        </m:r>
                      </m:e>
                      <m:sub>
                        <m:r>
                          <m:rPr>
                            <m:sty m:val="p"/>
                          </m:rPr>
                          <m:t>7</m:t>
                        </m:r>
                      </m:sub>
                    </m:sSub>
                    <m:r>
                      <m:rPr>
                        <m:sty m:val="p"/>
                      </m:rPr>
                      <m:t>:</m:t>
                    </m:r>
                  </m:e>
                  <m:e>
                    <m:r>
                      <m:rPr>
                        <m:sty m:val="i"/>
                      </m:rPr>
                      <m:t>y</m:t>
                    </m:r>
                    <m:r>
                      <m:rPr>
                        <m:sty m:val="p"/>
                      </m:rPr>
                      <m:t>=</m:t>
                    </m:r>
                    <m:r>
                      <m:rPr>
                        <m:sty m:val="p"/>
                      </m:rPr>
                      <m:t>−</m:t>
                    </m:r>
                    <m:r>
                      <m:rPr>
                        <m:sty m:val="p"/>
                      </m:rPr>
                      <m:t>0</m:t>
                    </m:r>
                    <m:r>
                      <m:rPr>
                        <m:sty m:val="p"/>
                      </m:rPr>
                      <m:t>,</m:t>
                    </m:r>
                    <m:r>
                      <m:rPr>
                        <m:sty m:val="p"/>
                      </m:rPr>
                      <m:t>05</m:t>
                    </m:r>
                    <m:r>
                      <m:rPr>
                        <m:sty m:val="i"/>
                      </m:rPr>
                      <m:t>x</m:t>
                    </m:r>
                    <m:r>
                      <m:rPr>
                        <m:sty m:val="p"/>
                      </m:rPr>
                      <m:t>−</m:t>
                    </m:r>
                    <m:r>
                      <m:rPr>
                        <m:sty m:val="p"/>
                      </m:rPr>
                      <m:t>4</m:t>
                    </m:r>
                    <m:r>
                      <m:rPr>
                        <m:sty m:val="p"/>
                      </m:rPr>
                      <m:t>,</m:t>
                    </m:r>
                    <m:r>
                      <m:rPr>
                        <m:sty m:val="p"/>
                      </m:rPr>
                      <m:t>82</m:t>
                    </m:r>
                  </m:e>
                </m:mr>
              </m:m>
            </m:e>
          </m:d>
        </m:oMath>
      </m:oMathPara>
    </w:p>
    <w:p>
      <w:pPr>
        <w:spacing w:after="220" w:lineRule="auto"/>
      </w:pPr>
      <w:r>
        <w:rPr>
          <w:rFonts w:eastAsia="Georgia" w:cs="Georgia" w:ascii="Georgia" w:hAnsi="Georgia"/>
        </w:rPr>
        <w:t xml:space="preserve">Déterminer </w:t>
      </w:r>
      <m:oMath>
        <m:sSub>
          <m:sSubPr/>
          <m:e>
            <m:r>
              <m:rPr>
                <m:sty m:val="i"/>
              </m:rPr>
              <m:t>E</m:t>
            </m:r>
          </m:e>
          <m:sub>
            <m:r>
              <m:rPr>
                <m:sty m:val="i"/>
              </m:rPr>
              <m:t>a</m:t>
            </m:r>
          </m:sub>
        </m:sSub>
      </m:oMath>
      <w:r>
        <w:rPr/>
        <w:t xml:space="preserve"> et </w:t>
      </w:r>
      <m:oMath>
        <m:sSub>
          <m:sSubPr/>
          <m:e>
            <m:r>
              <m:rPr>
                <m:sty m:val="i"/>
              </m:rPr>
              <m:t>σ</m:t>
            </m:r>
          </m:e>
          <m:sub>
            <m:r>
              <m:rPr>
                <m:sty m:val="p"/>
              </m:rPr>
              <m:t>0</m:t>
            </m:r>
          </m:sub>
        </m:sSub>
      </m:oMath>
      <w:r>
        <w:rPr>
          <w:rFonts w:eastAsia="Georgia" w:cs="Georgia" w:ascii="Georgia" w:hAnsi="Georgia"/>
        </w:rPr>
        <w:t xml:space="preserve"> (valeurs approximatives) pour chaque membrane étudiée ci-dessus.</w:t>
      </w:r>
      <w:r>
        <w:rPr/>
        <w:br w:type="textWrapping"/>
      </w:r>
      <w:r>
        <w:rPr>
          <w:rFonts w:eastAsia="Georgia" w:cs="Georgia" w:ascii="Georgia" w:hAnsi="Georgia"/>
        </w:rPr>
        <w:t xml:space="preserve">La même série de mesures a été réalisée en dissolvant, toujours dans les mêmes proportions, les différents sels de type ( </w:t>
      </w:r>
      <m:oMath>
        <m:sSup>
          <m:sSupPr/>
          <m:e>
            <m:r>
              <m:rPr>
                <m:sty m:val="p"/>
              </m:rPr>
              <m:t>Li</m:t>
            </m:r>
          </m:e>
          <m:sup>
            <m:r>
              <m:rPr>
                <m:sty m:val="p"/>
              </m:rPr>
              <m:t>+</m:t>
            </m:r>
          </m:sup>
        </m:sSup>
        <m:r>
          <m:rPr>
            <m:sty m:val="p"/>
          </m:rPr>
          <m:t>,</m:t>
        </m:r>
        <m:sSup>
          <m:sSupPr/>
          <m:e>
            <m:r>
              <m:rPr>
                <m:sty m:val="p"/>
              </m:rPr>
              <m:t>A</m:t>
            </m:r>
          </m:e>
          <m:sup>
            <m:r>
              <m:rPr>
                <m:sty m:val="p"/>
              </m:rPr>
              <m:t>−</m:t>
            </m:r>
          </m:sup>
        </m:sSup>
      </m:oMath>
      <w:r>
        <w:rPr>
          <w:rFonts w:eastAsia="Georgia" w:cs="Georgia" w:ascii="Georgia" w:hAnsi="Georgia"/>
        </w:rPr>
        <w:t xml:space="preserve">), présentés dans les questions précédentes. Les valeurs de </w:t>
      </w:r>
      <m:oMath>
        <m:sSub>
          <m:sSubPr/>
          <m:e>
            <m:r>
              <m:rPr>
                <m:sty m:val="i"/>
              </m:rPr>
              <m:t>E</m:t>
            </m:r>
          </m:e>
          <m:sub>
            <m:r>
              <m:rPr>
                <m:sty m:val="i"/>
              </m:rPr>
              <m:t>a</m:t>
            </m:r>
          </m:sub>
        </m:sSub>
      </m:oMath>
      <w:r>
        <w:rPr/>
        <w:t xml:space="preserve"> et </w:t>
      </w:r>
      <m:oMath>
        <m:sSub>
          <m:sSubPr/>
          <m:e>
            <m:r>
              <m:rPr>
                <m:sty m:val="i"/>
              </m:rPr>
              <m:t>σ</m:t>
            </m:r>
          </m:e>
          <m:sub>
            <m:r>
              <m:rPr>
                <m:sty m:val="p"/>
              </m:rPr>
              <m:t>0</m:t>
            </m:r>
          </m:sub>
        </m:sSub>
      </m:oMath>
      <w:r>
        <w:rPr>
          <w:rFonts w:eastAsia="Georgia" w:cs="Georgia" w:ascii="Georgia" w:hAnsi="Georgia"/>
        </w:rPr>
        <w:t xml:space="preserve"> qui ont pu être extraites des différentes courbes expérimentales sont rassemblées dans le tableau (1) pour chacun des cristaux liquides ioniques </w:t>
      </w:r>
      <m:oMath>
        <m:sSub>
          <m:sSubPr/>
          <m:e>
            <m:r>
              <m:rPr>
                <m:sty m:val="b"/>
              </m:rPr>
              <m:t>P</m:t>
            </m:r>
          </m:e>
          <m:sub>
            <m:r>
              <m:rPr>
                <m:sty m:val="p"/>
              </m:rPr>
              <m:t>6</m:t>
            </m:r>
          </m:sub>
        </m:sSub>
      </m:oMath>
      <w:r>
        <w:rPr/>
        <w:t xml:space="preserve"> et </w:t>
      </w:r>
      <m:oMath>
        <m:sSub>
          <m:sSubPr/>
          <m:e>
            <m:r>
              <m:rPr>
                <m:sty m:val="b"/>
              </m:rPr>
              <m:t>P</m:t>
            </m:r>
          </m:e>
          <m:sub>
            <m:r>
              <m:rPr>
                <m:sty m:val="p"/>
              </m:rPr>
              <m:t>7</m:t>
            </m:r>
          </m:sub>
        </m:sSub>
      </m:oMath>
      <w:r>
        <w:rPr/>
        <w:t xml:space="preserve">.</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right w:val="single" w:sz="8" w:space="0" w:color="000000"/>
            </w:tcBorders>
            <w:vAlign w:val="center"/>
          </w:tcPr>
          <w:p>
            <w:pPr>
              <w:spacing w:lineRule="auto"/>
              <w:jc w:val="center"/>
            </w:pPr>
            <w:r>
              <w:rPr/>
              <w:t xml:space="preserve">Sel de</w:t>
            </w:r>
          </w:p>
        </w:tc>
        <w:tc>
          <w:tcPr>
            <w:tcBorders>
              <w:top w:val="single" w:sz="8" w:space="0" w:color="000000"/>
            </w:tcBorders>
            <w:vAlign w:val="center"/>
          </w:tcPr>
          <w:p>
            <w:pPr>
              <w:spacing w:lineRule="auto"/>
              <w:jc w:val="center"/>
            </w:pPr>
            <m:oMathPara>
              <m:oMathParaPr>
                <m:jc m:val="center"/>
              </m:oMathParaPr>
              <m:oMath>
                <m:sSub>
                  <m:sSubPr/>
                  <m:e>
                    <m:r>
                      <m:rPr>
                        <m:sty m:val="b"/>
                      </m:rPr>
                      <m:t>P</m:t>
                    </m:r>
                  </m:e>
                  <m:sub>
                    <m:r>
                      <m:rPr>
                        <m:sty m:val="p"/>
                      </m:rPr>
                      <m:t>6</m:t>
                    </m:r>
                  </m:sub>
                </m:sSub>
              </m:oMath>
            </m:oMathPara>
          </w:p>
        </w:tc>
        <w:tc>
          <w:tcPr>
            <w:tcBorders>
              <w:top w:val="single" w:sz="8" w:space="0" w:color="000000"/>
              <w:right w:val="single" w:sz="8" w:space="0" w:color="000000"/>
            </w:tcBorders>
            <w:vAlign w:val="center"/>
          </w:tcPr>
          <w:p/>
        </w:tc>
        <w:tc>
          <w:tcPr>
            <w:tcBorders>
              <w:top w:val="single" w:sz="8" w:space="0" w:color="000000"/>
            </w:tcBorders>
            <w:vAlign w:val="center"/>
          </w:tcPr>
          <w:p>
            <w:pPr>
              <w:spacing w:lineRule="auto"/>
              <w:jc w:val="center"/>
            </w:pPr>
            <m:oMathPara>
              <m:oMathParaPr>
                <m:jc m:val="center"/>
              </m:oMathParaPr>
              <m:oMath>
                <m:sSub>
                  <m:sSubPr/>
                  <m:e>
                    <m:r>
                      <m:rPr>
                        <m:sty m:val="b"/>
                      </m:rPr>
                      <m:t>P</m:t>
                    </m:r>
                  </m:e>
                  <m:sub>
                    <m:r>
                      <m:rPr>
                        <m:sty m:val="p"/>
                      </m:rPr>
                      <m:t>7</m:t>
                    </m:r>
                  </m:sub>
                </m:sSub>
              </m:oMath>
            </m:oMathPara>
          </w:p>
        </w:tc>
        <w:tc>
          <w:tcPr>
            <w:tcBorders>
              <w:top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lithium</w:t>
            </w:r>
          </w:p>
        </w:tc>
        <w:tc>
          <w:tcPr>
            <w:tcBorders>
              <w:bottom w:val="single" w:sz="8" w:space="0" w:color="000000"/>
            </w:tcBorders>
            <w:vAlign w:val="center"/>
          </w:tcPr>
          <w:p>
            <w:pPr>
              <w:spacing w:lineRule="auto"/>
              <w:jc w:val="center"/>
            </w:pPr>
            <m:oMathPara>
              <m:oMathParaPr>
                <m:jc m:val="center"/>
              </m:oMathParaPr>
              <m:oMath>
                <m:sSub>
                  <m:sSubPr/>
                  <m:e>
                    <m:r>
                      <m:rPr>
                        <m:sty m:val="i"/>
                      </m:rPr>
                      <m:t>σ</m:t>
                    </m:r>
                  </m:e>
                  <m:sub>
                    <m:r>
                      <m:rPr>
                        <m:sty m:val="p"/>
                      </m:rPr>
                      <m:t>0</m:t>
                    </m:r>
                  </m:sub>
                </m:sSub>
                <m:d>
                  <m:dPr>
                    <m:begChr m:val="("/>
                    <m:endChr m:val=")"/>
                    <m:ctrlPr>
                      <w:rPr>
                        <w:rFonts w:ascii="Cambria Math" w:hAnsi="Cambria Math"/>
                      </w:rPr>
                    </m:ctrlPr>
                  </m:dPr>
                  <m:e>
                    <m:r>
                      <m:rPr>
                        <m:nor/>
                      </m:rPr>
                      <m:t xml:space="preserve"> </m:t>
                    </m:r>
                    <m:r>
                      <m:rPr>
                        <m:sty m:val="p"/>
                      </m:rPr>
                      <m:t>S</m:t>
                    </m:r>
                    <m:r>
                      <m:rPr>
                        <m:sty m:val="p"/>
                      </m:rPr>
                      <m:t>⋅</m:t>
                    </m:r>
                    <m:sSup>
                      <m:sSupPr/>
                      <m:e>
                        <m:r>
                          <m:rPr>
                            <m:nor/>
                          </m:rPr>
                          <m:t xml:space="preserve"> </m:t>
                        </m:r>
                        <m:r>
                          <m:rPr>
                            <m:sty m:val="p"/>
                          </m:rPr>
                          <m:t>m</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i"/>
                      </m:rPr>
                      <m:t>a</m:t>
                    </m:r>
                  </m:sub>
                </m:sSub>
                <m:d>
                  <m:dPr>
                    <m:begChr m:val="("/>
                    <m:endChr m:val=")"/>
                    <m:ctrlPr>
                      <w:rPr>
                        <w:rFonts w:ascii="Cambria Math" w:hAnsi="Cambria Math"/>
                      </w:rPr>
                    </m:ctrlPr>
                  </m:dPr>
                  <m:e>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e>
                </m:d>
              </m:oMath>
            </m:oMathPara>
          </w:p>
        </w:tc>
        <w:tc>
          <w:tcPr>
            <w:tcBorders>
              <w:bottom w:val="single" w:sz="8" w:space="0" w:color="000000"/>
            </w:tcBorders>
            <w:vAlign w:val="center"/>
          </w:tcPr>
          <w:p>
            <w:pPr>
              <w:spacing w:lineRule="auto"/>
              <w:jc w:val="center"/>
            </w:pPr>
            <m:oMathPara>
              <m:oMathParaPr>
                <m:jc m:val="center"/>
              </m:oMathParaPr>
              <m:oMath>
                <m:sSub>
                  <m:sSubPr/>
                  <m:e>
                    <m:r>
                      <m:rPr>
                        <m:sty m:val="i"/>
                      </m:rPr>
                      <m:t>σ</m:t>
                    </m:r>
                  </m:e>
                  <m:sub>
                    <m:r>
                      <m:rPr>
                        <m:sty m:val="p"/>
                      </m:rPr>
                      <m:t>0</m:t>
                    </m:r>
                  </m:sub>
                </m:sSub>
                <m:d>
                  <m:dPr>
                    <m:begChr m:val="("/>
                    <m:endChr m:val=")"/>
                    <m:ctrlPr>
                      <w:rPr>
                        <w:rFonts w:ascii="Cambria Math" w:hAnsi="Cambria Math"/>
                      </w:rPr>
                    </m:ctrlPr>
                  </m:dPr>
                  <m:e>
                    <m:r>
                      <m:rPr>
                        <m:nor/>
                      </m:rPr>
                      <m:t xml:space="preserve"> </m:t>
                    </m:r>
                    <m:r>
                      <m:rPr>
                        <m:sty m:val="p"/>
                      </m:rPr>
                      <m:t>S</m:t>
                    </m:r>
                    <m:r>
                      <m:rPr>
                        <m:sty m:val="p"/>
                      </m:rPr>
                      <m:t>⋅</m:t>
                    </m:r>
                    <m:sSup>
                      <m:sSupPr/>
                      <m:e>
                        <m:r>
                          <m:rPr>
                            <m:nor/>
                          </m:rPr>
                          <m:t xml:space="preserve"> </m:t>
                        </m:r>
                        <m:r>
                          <m:rPr>
                            <m:sty m:val="p"/>
                          </m:rPr>
                          <m:t>m</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i"/>
                      </m:rPr>
                      <m:t>a</m:t>
                    </m:r>
                  </m:sub>
                </m:sSub>
                <m:d>
                  <m:dPr>
                    <m:begChr m:val="("/>
                    <m:endChr m:val=")"/>
                    <m:ctrlPr>
                      <w:rPr>
                        <w:rFonts w:ascii="Cambria Math" w:hAnsi="Cambria Math"/>
                      </w:rPr>
                    </m:ctrlPr>
                  </m:dPr>
                  <m:e>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e>
                </m:d>
              </m:oMath>
            </m:oMathPara>
          </w:p>
        </w:tc>
      </w:tr>
      <w:tr>
        <w:trPr>
          <w:cantSplit/>
        </w:trPr>
        <w:tc>
          <w:tcPr>
            <w:tcBorders>
              <w:left w:val="single" w:sz="8" w:space="0" w:color="000000"/>
              <w:right w:val="single" w:sz="8" w:space="0" w:color="000000"/>
            </w:tcBorders>
            <w:vAlign w:val="center"/>
          </w:tcPr>
          <w:p>
            <w:pPr>
              <w:spacing w:lineRule="auto"/>
              <w:jc w:val="center"/>
            </w:pPr>
            <w:r>
              <w:rPr/>
              <w:t xml:space="preserve">LiNTFSi</w:t>
            </w:r>
          </w:p>
        </w:tc>
        <w:tc>
          <w:tcPr>
            <w:tcBorders/>
            <w:vAlign w:val="center"/>
          </w:tcPr>
          <w:p>
            <w:pPr>
              <w:spacing w:lineRule="auto"/>
              <w:jc w:val="center"/>
            </w:pPr>
            <m:oMathPara>
              <m:oMathParaPr>
                <m:jc m:val="center"/>
              </m:oMathParaPr>
              <m:oMath>
                <m:r>
                  <m:rPr>
                    <m:sty m:val="p"/>
                  </m:rPr>
                  <m:t>3</m:t>
                </m:r>
                <m:r>
                  <m:rPr>
                    <m:sty m:val="p"/>
                  </m:rPr>
                  <m:t>,</m:t>
                </m:r>
                <m:r>
                  <m:rPr>
                    <m:sty m:val="p"/>
                  </m:rPr>
                  <m:t>3</m:t>
                </m:r>
                <m:r>
                  <m:rPr>
                    <m:sty m:val="p"/>
                  </m:rPr>
                  <m:t>×</m:t>
                </m:r>
                <m:sSup>
                  <m:sSupPr/>
                  <m:e>
                    <m:r>
                      <m:rPr>
                        <m:sty m:val="p"/>
                      </m:rPr>
                      <m:t>10</m:t>
                    </m:r>
                  </m:e>
                  <m:sup>
                    <m:r>
                      <m:rPr>
                        <m:sty m:val="p"/>
                      </m:rPr>
                      <m:t>−</m:t>
                    </m:r>
                    <m:r>
                      <m:rPr>
                        <m:sty m:val="p"/>
                      </m:rPr>
                      <m:t>4</m:t>
                    </m:r>
                  </m:sup>
                </m:sSup>
              </m:oMath>
            </m:oMathPara>
          </w:p>
        </w:tc>
        <w:tc>
          <w:tcPr>
            <w:tcBorders>
              <w:right w:val="single" w:sz="8" w:space="0" w:color="000000"/>
            </w:tcBorders>
            <w:vAlign w:val="center"/>
          </w:tcPr>
          <w:p>
            <w:pPr>
              <w:spacing w:lineRule="auto"/>
              <w:jc w:val="center"/>
            </w:pPr>
            <w:r>
              <w:rPr/>
              <w:t xml:space="preserve">390</w:t>
            </w:r>
          </w:p>
        </w:tc>
        <w:tc>
          <w:tcPr>
            <w:tcBorders/>
            <w:vAlign w:val="center"/>
          </w:tcPr>
          <w:p>
            <w:pPr>
              <w:spacing w:lineRule="auto"/>
              <w:jc w:val="center"/>
            </w:pPr>
            <m:oMathPara>
              <m:oMathParaPr>
                <m:jc m:val="center"/>
              </m:oMathParaPr>
              <m:oMath>
                <m:r>
                  <m:rPr>
                    <m:sty m:val="p"/>
                  </m:rPr>
                  <m:t>1</m:t>
                </m:r>
                <m:r>
                  <m:rPr>
                    <m:sty m:val="p"/>
                  </m:rPr>
                  <m:t>,</m:t>
                </m:r>
                <m:r>
                  <m:rPr>
                    <m:sty m:val="p"/>
                  </m:rPr>
                  <m:t>6</m:t>
                </m:r>
                <m:r>
                  <m:rPr>
                    <m:sty m:val="p"/>
                  </m:rPr>
                  <m:t>×</m:t>
                </m:r>
                <m:sSup>
                  <m:sSupPr/>
                  <m:e>
                    <m:r>
                      <m:rPr>
                        <m:sty m:val="p"/>
                      </m:rPr>
                      <m:t>10</m:t>
                    </m:r>
                  </m:e>
                  <m:sup>
                    <m:r>
                      <m:rPr>
                        <m:sty m:val="p"/>
                      </m:rPr>
                      <m:t>−</m:t>
                    </m:r>
                    <m:r>
                      <m:rPr>
                        <m:sty m:val="p"/>
                      </m:rPr>
                      <m:t>3</m:t>
                    </m:r>
                  </m:sup>
                </m:sSup>
              </m:oMath>
            </m:oMathPara>
          </w:p>
        </w:tc>
        <w:tc>
          <w:tcPr>
            <w:tcBorders>
              <w:right w:val="single" w:sz="8" w:space="0" w:color="000000"/>
            </w:tcBorders>
            <w:vAlign w:val="center"/>
          </w:tcPr>
          <w:p>
            <w:pPr>
              <w:spacing w:lineRule="auto"/>
              <w:jc w:val="center"/>
            </w:pPr>
            <w:r>
              <w:rPr/>
              <w:t xml:space="preserve">100</w:t>
            </w:r>
          </w:p>
        </w:tc>
      </w:tr>
      <w:tr>
        <w:trPr>
          <w:cantSplit/>
        </w:trPr>
        <w:tc>
          <w:tcPr>
            <w:tcBorders>
              <w:left w:val="single" w:sz="8" w:space="0" w:color="000000"/>
              <w:right w:val="single" w:sz="8" w:space="0" w:color="000000"/>
            </w:tcBorders>
            <w:vAlign w:val="center"/>
          </w:tcPr>
          <w:p>
            <w:pPr>
              <w:spacing w:lineRule="auto"/>
              <w:jc w:val="center"/>
            </w:pPr>
            <m:oMathPara>
              <m:oMathParaPr>
                <m:jc m:val="center"/>
              </m:oMathParaPr>
              <m:oMath>
                <m:sSub>
                  <m:sSubPr/>
                  <m:e>
                    <m:r>
                      <m:rPr>
                        <m:sty m:val="p"/>
                      </m:rPr>
                      <m:t>LiClO</m:t>
                    </m:r>
                  </m:e>
                  <m:sub>
                    <m:r>
                      <m:rPr>
                        <m:sty m:val="p"/>
                      </m:rPr>
                      <m:t>4</m:t>
                    </m:r>
                  </m:sub>
                </m:sSub>
              </m:oMath>
            </m:oMathPara>
          </w:p>
        </w:tc>
        <w:tc>
          <w:tcPr>
            <w:tcBorders/>
            <w:vAlign w:val="center"/>
          </w:tcPr>
          <w:p>
            <w:pPr>
              <w:spacing w:lineRule="auto"/>
              <w:jc w:val="center"/>
            </w:pPr>
            <m:oMathPara>
              <m:oMathParaPr>
                <m:jc m:val="center"/>
              </m:oMathParaPr>
              <m:oMath>
                <m:r>
                  <m:rPr>
                    <m:sty m:val="p"/>
                  </m:rPr>
                  <m:t>8</m:t>
                </m:r>
                <m:r>
                  <m:rPr>
                    <m:sty m:val="p"/>
                  </m:rPr>
                  <m:t>,</m:t>
                </m:r>
                <m:r>
                  <m:rPr>
                    <m:sty m:val="p"/>
                  </m:rPr>
                  <m:t>8</m:t>
                </m:r>
                <m:r>
                  <m:rPr>
                    <m:sty m:val="p"/>
                  </m:rPr>
                  <m:t>×</m:t>
                </m:r>
                <m:sSup>
                  <m:sSupPr/>
                  <m:e>
                    <m:r>
                      <m:rPr>
                        <m:sty m:val="p"/>
                      </m:rPr>
                      <m:t>10</m:t>
                    </m:r>
                  </m:e>
                  <m:sup>
                    <m:r>
                      <m:rPr>
                        <m:sty m:val="p"/>
                      </m:rPr>
                      <m:t>−</m:t>
                    </m:r>
                    <m:r>
                      <m:rPr>
                        <m:sty m:val="p"/>
                      </m:rPr>
                      <m:t>5</m:t>
                    </m:r>
                  </m:sup>
                </m:sSup>
              </m:oMath>
            </m:oMathPara>
          </w:p>
        </w:tc>
        <w:tc>
          <w:tcPr>
            <w:tcBorders>
              <w:right w:val="single" w:sz="8" w:space="0" w:color="000000"/>
            </w:tcBorders>
            <w:vAlign w:val="center"/>
          </w:tcPr>
          <w:p>
            <w:pPr>
              <w:spacing w:lineRule="auto"/>
              <w:jc w:val="center"/>
            </w:pPr>
            <w:r>
              <w:rPr/>
              <w:t xml:space="preserve">623</w:t>
            </w:r>
          </w:p>
        </w:tc>
        <w:tc>
          <w:tcPr>
            <w:tcBorders/>
            <w:vAlign w:val="center"/>
          </w:tcPr>
          <w:p>
            <w:pPr>
              <w:spacing w:lineRule="auto"/>
              <w:jc w:val="center"/>
            </w:pPr>
            <m:oMathPara>
              <m:oMathParaPr>
                <m:jc m:val="center"/>
              </m:oMathParaPr>
              <m:oMath>
                <m:r>
                  <m:rPr>
                    <m:sty m:val="p"/>
                  </m:rPr>
                  <m:t>9</m:t>
                </m:r>
                <m:r>
                  <m:rPr>
                    <m:sty m:val="p"/>
                  </m:rPr>
                  <m:t>,</m:t>
                </m:r>
                <m:r>
                  <m:rPr>
                    <m:sty m:val="p"/>
                  </m:rPr>
                  <m:t>0</m:t>
                </m:r>
                <m:r>
                  <m:rPr>
                    <m:sty m:val="p"/>
                  </m:rPr>
                  <m:t>×</m:t>
                </m:r>
                <m:sSup>
                  <m:sSupPr/>
                  <m:e>
                    <m:r>
                      <m:rPr>
                        <m:sty m:val="p"/>
                      </m:rPr>
                      <m:t>10</m:t>
                    </m:r>
                  </m:e>
                  <m:sup>
                    <m:r>
                      <m:rPr>
                        <m:sty m:val="p"/>
                      </m:rPr>
                      <m:t>−</m:t>
                    </m:r>
                    <m:r>
                      <m:rPr>
                        <m:sty m:val="p"/>
                      </m:rPr>
                      <m:t>4</m:t>
                    </m:r>
                  </m:sup>
                </m:sSup>
              </m:oMath>
            </m:oMathPara>
          </w:p>
        </w:tc>
        <w:tc>
          <w:tcPr>
            <w:tcBorders>
              <w:right w:val="single" w:sz="8" w:space="0" w:color="000000"/>
            </w:tcBorders>
            <w:vAlign w:val="center"/>
          </w:tcPr>
          <w:p>
            <w:pPr>
              <w:spacing w:lineRule="auto"/>
              <w:jc w:val="center"/>
            </w:pPr>
            <w:r>
              <w:rPr/>
              <w:t xml:space="preserve">120</w:t>
            </w:r>
          </w:p>
        </w:tc>
      </w:tr>
      <w:tr>
        <w:trPr>
          <w:cantSplit/>
        </w:trPr>
        <w:tc>
          <w:tcPr>
            <w:tcBorders>
              <w:left w:val="single" w:sz="8" w:space="0" w:color="000000"/>
              <w:right w:val="single" w:sz="8" w:space="0" w:color="000000"/>
            </w:tcBorders>
            <w:vAlign w:val="center"/>
          </w:tcPr>
          <w:p>
            <w:pPr>
              <w:spacing w:lineRule="auto"/>
              <w:jc w:val="center"/>
            </w:pPr>
            <w:r>
              <w:rPr/>
              <w:t xml:space="preserve">LiTf</w:t>
            </w:r>
          </w:p>
        </w:tc>
        <w:tc>
          <w:tcPr>
            <w:tcBorders/>
            <w:vAlign w:val="center"/>
          </w:tcPr>
          <w:p>
            <w:pPr>
              <w:spacing w:lineRule="auto"/>
              <w:jc w:val="center"/>
            </w:pPr>
            <m:oMathPara>
              <m:oMathParaPr>
                <m:jc m:val="center"/>
              </m:oMathParaPr>
              <m:oMath>
                <m:r>
                  <m:rPr>
                    <m:sty m:val="p"/>
                  </m:rPr>
                  <m:t>7</m:t>
                </m:r>
                <m:r>
                  <m:rPr>
                    <m:sty m:val="p"/>
                  </m:rPr>
                  <m:t>,</m:t>
                </m:r>
                <m:r>
                  <m:rPr>
                    <m:sty m:val="p"/>
                  </m:rPr>
                  <m:t>2</m:t>
                </m:r>
                <m:r>
                  <m:rPr>
                    <m:sty m:val="p"/>
                  </m:rPr>
                  <m:t>×</m:t>
                </m:r>
                <m:sSup>
                  <m:sSupPr/>
                  <m:e>
                    <m:r>
                      <m:rPr>
                        <m:sty m:val="p"/>
                      </m:rPr>
                      <m:t>10</m:t>
                    </m:r>
                  </m:e>
                  <m:sup>
                    <m:r>
                      <m:rPr>
                        <m:sty m:val="p"/>
                      </m:rPr>
                      <m:t>−</m:t>
                    </m:r>
                    <m:r>
                      <m:rPr>
                        <m:sty m:val="p"/>
                      </m:rPr>
                      <m:t>5</m:t>
                    </m:r>
                  </m:sup>
                </m:sSup>
              </m:oMath>
            </m:oMathPara>
          </w:p>
        </w:tc>
        <w:tc>
          <w:tcPr>
            <w:tcBorders>
              <w:right w:val="single" w:sz="8" w:space="0" w:color="000000"/>
            </w:tcBorders>
            <w:vAlign w:val="center"/>
          </w:tcPr>
          <w:p>
            <w:pPr>
              <w:spacing w:lineRule="auto"/>
              <w:jc w:val="center"/>
            </w:pPr>
            <w:r>
              <w:rPr/>
              <w:t xml:space="preserve">690</w:t>
            </w:r>
          </w:p>
        </w:tc>
        <w:tc>
          <w:tcPr>
            <w:tcBorders/>
            <w:vAlign w:val="center"/>
          </w:tcPr>
          <w:p>
            <w:pPr>
              <w:spacing w:lineRule="auto"/>
              <w:jc w:val="center"/>
            </w:pPr>
            <m:oMathPara>
              <m:oMathParaPr>
                <m:jc m:val="center"/>
              </m:oMathParaPr>
              <m:oMath>
                <m:r>
                  <m:rPr>
                    <m:sty m:val="p"/>
                  </m:rPr>
                  <m:t>3</m:t>
                </m:r>
                <m:r>
                  <m:rPr>
                    <m:sty m:val="p"/>
                  </m:rPr>
                  <m:t>,</m:t>
                </m:r>
                <m:r>
                  <m:rPr>
                    <m:sty m:val="p"/>
                  </m:rPr>
                  <m:t>8</m:t>
                </m:r>
                <m:r>
                  <m:rPr>
                    <m:sty m:val="p"/>
                  </m:rPr>
                  <m:t>×</m:t>
                </m:r>
                <m:sSup>
                  <m:sSupPr/>
                  <m:e>
                    <m:r>
                      <m:rPr>
                        <m:sty m:val="p"/>
                      </m:rPr>
                      <m:t>10</m:t>
                    </m:r>
                  </m:e>
                  <m:sup>
                    <m:r>
                      <m:rPr>
                        <m:sty m:val="p"/>
                      </m:rPr>
                      <m:t>−</m:t>
                    </m:r>
                    <m:r>
                      <m:rPr>
                        <m:sty m:val="p"/>
                      </m:rPr>
                      <m:t>4</m:t>
                    </m:r>
                  </m:sup>
                </m:sSup>
              </m:oMath>
            </m:oMathPara>
          </w:p>
        </w:tc>
        <w:tc>
          <w:tcPr>
            <w:tcBorders>
              <w:right w:val="single" w:sz="8" w:space="0" w:color="000000"/>
            </w:tcBorders>
            <w:vAlign w:val="center"/>
          </w:tcPr>
          <w:p>
            <w:pPr>
              <w:spacing w:lineRule="auto"/>
              <w:jc w:val="center"/>
            </w:pPr>
            <w:r>
              <w:rPr/>
              <w:t xml:space="preserve">490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LiBF</m:t>
                    </m:r>
                  </m:e>
                  <m:sub>
                    <m:r>
                      <m:rPr>
                        <m:sty m:val="p"/>
                      </m:rPr>
                      <m:t>4</m:t>
                    </m:r>
                  </m:sub>
                </m:sSub>
              </m:oMath>
            </m:oMathPara>
          </w:p>
        </w:tc>
        <w:tc>
          <w:tcPr>
            <w:tcBorders>
              <w:bottom w:val="single" w:sz="8" w:space="0" w:color="000000"/>
            </w:tcBorders>
            <w:vAlign w:val="center"/>
          </w:tcPr>
          <w:p>
            <w:pPr>
              <w:spacing w:lineRule="auto"/>
              <w:jc w:val="center"/>
            </w:pPr>
            <m:oMathPara>
              <m:oMathParaPr>
                <m:jc m:val="center"/>
              </m:oMathParaPr>
              <m:oMath>
                <m:r>
                  <m:rPr>
                    <m:sty m:val="p"/>
                  </m:rPr>
                  <m:t>4</m:t>
                </m:r>
                <m:r>
                  <m:rPr>
                    <m:sty m:val="p"/>
                  </m:rPr>
                  <m:t>,</m:t>
                </m:r>
                <m:r>
                  <m:rPr>
                    <m:sty m:val="p"/>
                  </m:rPr>
                  <m:t>1</m:t>
                </m:r>
                <m:r>
                  <m:rPr>
                    <m:sty m:val="p"/>
                  </m:rPr>
                  <m:t>×</m:t>
                </m:r>
                <m:sSup>
                  <m:sSupPr/>
                  <m:e>
                    <m:r>
                      <m:rPr>
                        <m:sty m:val="p"/>
                      </m:rPr>
                      <m:t>10</m:t>
                    </m:r>
                  </m:e>
                  <m:sup>
                    <m:r>
                      <m:rPr>
                        <m:sty m:val="p"/>
                      </m:rPr>
                      <m:t>−</m:t>
                    </m:r>
                    <m:r>
                      <m:rPr>
                        <m:sty m:val="p"/>
                      </m:rPr>
                      <m:t>5</m:t>
                    </m:r>
                  </m:sup>
                </m:sSup>
              </m:oMath>
            </m:oMathPara>
          </w:p>
        </w:tc>
        <w:tc>
          <w:tcPr>
            <w:tcBorders>
              <w:bottom w:val="single" w:sz="8" w:space="0" w:color="000000"/>
              <w:right w:val="single" w:sz="8" w:space="0" w:color="000000"/>
            </w:tcBorders>
            <w:vAlign w:val="center"/>
          </w:tcPr>
          <w:p>
            <w:pPr>
              <w:spacing w:lineRule="auto"/>
              <w:jc w:val="center"/>
            </w:pPr>
            <w:r>
              <w:rPr/>
              <w:t xml:space="preserve">1220</w:t>
            </w:r>
          </w:p>
        </w:tc>
        <w:tc>
          <w:tcPr>
            <w:tcBorders>
              <w:bottom w:val="single" w:sz="8" w:space="0" w:color="000000"/>
            </w:tcBorders>
            <w:vAlign w:val="center"/>
          </w:tcPr>
          <w:p>
            <w:pPr>
              <w:spacing w:lineRule="auto"/>
              <w:jc w:val="center"/>
            </w:pPr>
            <m:oMathPara>
              <m:oMathParaPr>
                <m:jc m:val="center"/>
              </m:oMathParaPr>
              <m:oMath>
                <m:r>
                  <m:rPr>
                    <m:sty m:val="p"/>
                  </m:rPr>
                  <m:t>1</m:t>
                </m:r>
                <m:r>
                  <m:rPr>
                    <m:sty m:val="p"/>
                  </m:rPr>
                  <m:t>,</m:t>
                </m:r>
                <m:r>
                  <m:rPr>
                    <m:sty m:val="p"/>
                  </m:rPr>
                  <m:t>5</m:t>
                </m:r>
                <m:r>
                  <m:rPr>
                    <m:sty m:val="p"/>
                  </m:rPr>
                  <m:t>×</m:t>
                </m:r>
                <m:sSup>
                  <m:sSupPr/>
                  <m:e>
                    <m:r>
                      <m:rPr>
                        <m:sty m:val="p"/>
                      </m:rPr>
                      <m:t>10</m:t>
                    </m:r>
                  </m:e>
                  <m:sup>
                    <m:r>
                      <m:rPr>
                        <m:sty m:val="p"/>
                      </m:rPr>
                      <m:t>−</m:t>
                    </m:r>
                    <m:r>
                      <m:rPr>
                        <m:sty m:val="p"/>
                      </m:rPr>
                      <m:t>4</m:t>
                    </m:r>
                  </m:sup>
                </m:sSup>
              </m:oMath>
            </m:oMathPara>
          </w:p>
        </w:tc>
        <w:tc>
          <w:tcPr>
            <w:tcBorders>
              <w:bottom w:val="single" w:sz="8" w:space="0" w:color="000000"/>
              <w:right w:val="single" w:sz="8" w:space="0" w:color="000000"/>
            </w:tcBorders>
            <w:vAlign w:val="center"/>
          </w:tcPr>
          <w:p>
            <w:pPr>
              <w:spacing w:lineRule="auto"/>
              <w:jc w:val="center"/>
            </w:pPr>
            <w:r>
              <w:rPr/>
              <w:t xml:space="preserve">590</w:t>
            </w:r>
          </w:p>
        </w:tc>
      </w:tr>
    </w:tbl>
    <w:p>
      <w:pPr>
        <w:spacing w:lineRule="auto"/>
      </w:pPr>
    </w:p>
    <w:p>
      <w:pPr>
        <w:spacing w:lineRule="auto"/>
      </w:pPr>
      <w:r>
        <w:rPr/>
        <w:t xml:space="preserve">Tableau 1 - Valeurs de </w:t>
      </w:r>
      <m:oMath>
        <m:sSub>
          <m:sSubPr/>
          <m:e>
            <m:r>
              <m:rPr>
                <m:sty m:val="i"/>
              </m:rPr>
              <m:t>σ</m:t>
            </m:r>
          </m:e>
          <m:sub>
            <m:r>
              <m:rPr>
                <m:sty m:val="p"/>
              </m:rPr>
              <m:t>0</m:t>
            </m:r>
          </m:sub>
        </m:sSub>
      </m:oMath>
      <w:r>
        <w:rPr/>
        <w:t xml:space="preserve"> et </w:t>
      </w:r>
      <m:oMath>
        <m:sSub>
          <m:sSubPr/>
          <m:e>
            <m:r>
              <m:rPr>
                <m:sty m:val="i"/>
              </m:rPr>
              <m:t>E</m:t>
            </m:r>
          </m:e>
          <m:sub>
            <m:r>
              <m:rPr>
                <m:sty m:val="i"/>
              </m:rPr>
              <m:t>a</m:t>
            </m:r>
          </m:sub>
        </m:sSub>
      </m:oMath>
      <w:r>
        <w:rPr/>
        <w:t xml:space="preserve"> pour les cristaux liquides ioniques </w:t>
      </w:r>
      <m:oMath>
        <m:sSub>
          <m:sSubPr/>
          <m:e>
            <m:r>
              <m:rPr>
                <m:sty m:val="b"/>
              </m:rPr>
              <m:t>P</m:t>
            </m:r>
          </m:e>
          <m:sub>
            <m:r>
              <m:rPr>
                <m:sty m:val="p"/>
              </m:rPr>
              <m:t>6</m:t>
            </m:r>
          </m:sub>
        </m:sSub>
      </m:oMath>
      <w:r>
        <w:rPr/>
        <w:t xml:space="preserve"> et </w:t>
      </w:r>
      <m:oMath>
        <m:sSub>
          <m:sSubPr/>
          <m:e>
            <m:r>
              <m:rPr>
                <m:sty m:val="b"/>
              </m:rPr>
              <m:t>P</m:t>
            </m:r>
          </m:e>
          <m:sub>
            <m:r>
              <m:rPr>
                <m:sty m:val="p"/>
              </m:rPr>
              <m:t>7</m:t>
            </m:r>
          </m:sub>
        </m:sSub>
      </m:oMath>
      <w:r>
        <w:rPr/>
        <w:t xml:space="preserve">. NTFSi </w:t>
      </w:r>
      <m:oMath>
        <m:sSup>
          <m:sSupPr/>
          <m:e>
            <m:r>
              <m:t xml:space="preserve"> </m:t>
            </m:r>
          </m:e>
          <m:sup>
            <m:r>
              <m:rPr>
                <m:sty m:val="p"/>
              </m:rPr>
              <m:t>−</m:t>
            </m:r>
          </m:sup>
        </m:sSup>
        <m:r>
          <m:rPr>
            <m:sty m:val="p"/>
          </m:rPr>
          <m:t>=</m:t>
        </m:r>
      </m:oMath>
      <w:r>
        <w:rPr>
          <w:rFonts w:eastAsia="Georgia" w:cs="Georgia" w:ascii="Georgia" w:hAnsi="Georgia"/>
        </w:rPr>
        <w:t xml:space="preserve"> (bis(trifluorométhyl)sulfonimidure et </w:t>
      </w:r>
      <m:oMath>
        <m:sSup>
          <m:sSupPr/>
          <m:e>
            <m:r>
              <m:rPr>
                <m:sty m:val="p"/>
              </m:rPr>
              <m:t>Tf</m:t>
            </m:r>
          </m:e>
          <m:sup>
            <m:r>
              <m:rPr>
                <m:sty m:val="p"/>
              </m:rPr>
              <m:t>−</m:t>
            </m:r>
          </m:sup>
        </m:sSup>
        <m:r>
          <m:rPr>
            <m:sty m:val="p"/>
          </m:rPr>
          <m:t>=</m:t>
        </m:r>
      </m:oMath>
      <w:r>
        <w:rPr/>
        <w:t xml:space="preserve">triflate </w:t>
      </w:r>
      <m:oMath>
        <m:sSub>
          <m:sSubPr/>
          <m:e>
            <m:r>
              <m:rPr>
                <m:sty m:val="p"/>
              </m:rPr>
              <m:t>CF</m:t>
            </m:r>
          </m:e>
          <m:sub>
            <m:r>
              <m:rPr>
                <m:sty m:val="p"/>
              </m:rPr>
              <m:t>3</m:t>
            </m:r>
          </m:sub>
        </m:sSub>
        <m:sSubSup>
          <m:sSubSupPr/>
          <m:e>
            <m:r>
              <m:rPr>
                <m:sty m:val="p"/>
              </m:rPr>
              <m:t>SO</m:t>
            </m:r>
          </m:e>
          <m:sub>
            <m:r>
              <m:rPr>
                <m:sty m:val="p"/>
              </m:rPr>
              <m:t>3</m:t>
            </m:r>
          </m:sub>
          <m:sup>
            <m:r>
              <m:rPr>
                <m:sty m:val="p"/>
              </m:rPr>
              <m:t>−</m:t>
            </m:r>
          </m:sup>
        </m:sSubSup>
      </m:oMath>
      <w:r>
        <w:rPr/>
        <w:t xml:space="preserve">.</w:t>
      </w:r>
    </w:p>
    <w:p>
      <w:pPr>
        <w:numPr>
          <w:ilvl w:val="0"/>
          <w:numId w:val="16"/>
        </w:numPr>
        <w:spacing w:lineRule="auto"/>
      </w:pPr>
      <w:r>
        <w:rPr>
          <w:rFonts w:eastAsia="Georgia" w:cs="Georgia" w:ascii="Georgia" w:hAnsi="Georgia"/>
        </w:rPr>
        <w:t xml:space="preserve">Commenter l'influence du contre anion sur la conduction des différents cristaux liquides ioniques constitués. Comparer avec LiCl (voir question(30)).</w:t>
      </w:r>
    </w:p>
    <w:p>
      <w:pPr>
        <w:numPr>
          <w:ilvl w:val="0"/>
          <w:numId w:val="16"/>
        </w:numPr>
        <w:spacing w:lineRule="auto"/>
      </w:pPr>
      <w:r>
        <w:rPr>
          <w:rFonts w:eastAsia="Georgia" w:cs="Georgia" w:ascii="Georgia" w:hAnsi="Georgia"/>
        </w:rPr>
        <w:t xml:space="preserve">Interpréter les différences de conductivité observées entre </w:t>
      </w:r>
      <m:oMath>
        <m:sSub>
          <m:sSubPr/>
          <m:e>
            <m:r>
              <m:rPr>
                <m:sty m:val="b"/>
              </m:rPr>
              <m:t>P</m:t>
            </m:r>
          </m:e>
          <m:sub>
            <m:r>
              <m:rPr>
                <m:sty m:val="p"/>
              </m:rPr>
              <m:t>6</m:t>
            </m:r>
          </m:sub>
        </m:sSub>
      </m:oMath>
      <w:r>
        <w:rPr/>
        <w:t xml:space="preserve"> et </w:t>
      </w:r>
      <m:oMath>
        <m:sSub>
          <m:sSubPr/>
          <m:e>
            <m:r>
              <m:rPr>
                <m:sty m:val="b"/>
              </m:rPr>
              <m:t>P</m:t>
            </m:r>
          </m:e>
          <m:sub>
            <m:r>
              <m:rPr>
                <m:sty m:val="p"/>
              </m:rPr>
              <m:t>7</m:t>
            </m:r>
          </m:sub>
        </m:sSub>
      </m:oMath>
      <w:r>
        <w:rPr/>
        <w:t xml:space="preserve">, en tenant compte du fait que </w:t>
      </w:r>
      <m:oMath>
        <m:sSub>
          <m:sSubPr/>
          <m:e>
            <m:r>
              <m:rPr>
                <m:sty m:val="b"/>
              </m:rPr>
              <m:t>P</m:t>
            </m:r>
          </m:e>
          <m:sub>
            <m:r>
              <m:rPr>
                <m:sty m:val="p"/>
              </m:rPr>
              <m:t>6</m:t>
            </m:r>
          </m:sub>
        </m:sSub>
      </m:oMath>
      <w:r>
        <w:rPr>
          <w:rFonts w:eastAsia="Georgia" w:cs="Georgia" w:ascii="Georgia" w:hAnsi="Georgia"/>
        </w:rPr>
        <w:t xml:space="preserve"> présente une longue chaîne PEG flexible au milieu de la structure. Quel sera le mécanisme de transport ( 1,2 ou 3 ) susceptible d'intervenir dans chacun de ces systèmes?</w:t>
      </w:r>
    </w:p>
    <w:p>
      <w:pPr>
        <w:numPr>
          <w:ilvl w:val="0"/>
          <w:numId w:val="16"/>
        </w:numPr>
        <w:spacing w:lineRule="auto"/>
      </w:pPr>
      <w:r>
        <w:rPr>
          <w:rFonts w:eastAsia="Georgia" w:cs="Georgia" w:ascii="Georgia" w:hAnsi="Georgia"/>
        </w:rPr>
        <w:t xml:space="preserve">On donne les conductivités molaires ioniques (à </w:t>
      </w:r>
      <m:oMath>
        <m:d>
          <m:dPr>
            <m:begChr m:val=""/>
            <m:endChr m:val=")"/>
            <m:ctrlPr>
              <w:rPr>
                <w:rFonts w:ascii="Cambria Math" w:hAnsi="Cambria Math"/>
              </w:rPr>
            </m:ctrlPr>
          </m:dPr>
          <m:e>
            <m:sSup>
              <m:sSupPr/>
              <m:e>
                <m:r>
                  <m:rPr>
                    <m:sty m:val="p"/>
                  </m:rPr>
                  <m:t>25</m:t>
                </m:r>
              </m:e>
              <m:sup>
                <m:r>
                  <m:rPr>
                    <m:sty m:val="p"/>
                  </m:rPr>
                  <m:t>∘</m:t>
                </m:r>
              </m:sup>
            </m:sSup>
            <m:r>
              <m:rPr>
                <m:sty m:val="p"/>
              </m:rPr>
              <m:t>C</m:t>
            </m:r>
          </m:e>
        </m:d>
      </m:oMath>
      <w:r>
        <w:rPr/>
        <w:t xml:space="preserve"> des ions </w:t>
      </w:r>
      <m:oMath>
        <m:sSup>
          <m:sSupPr/>
          <m:e>
            <m:r>
              <m:rPr>
                <m:sty m:val="p"/>
              </m:rPr>
              <m:t>Cl</m:t>
            </m:r>
          </m:e>
          <m:sup>
            <m:r>
              <m:rPr>
                <m:sty m:val="p"/>
              </m:rPr>
              <m:t>−</m:t>
            </m:r>
          </m:sup>
        </m:sSup>
        <m:d>
          <m:dPr>
            <m:begChr m:val="("/>
            <m:endChr m:val=")"/>
            <m:ctrlPr>
              <w:rPr>
                <w:rFonts w:ascii="Cambria Math" w:hAnsi="Cambria Math"/>
              </w:rPr>
            </m:ctrlPr>
          </m:dPr>
          <m:e>
            <m:r>
              <m:rPr>
                <m:sty m:val="p"/>
              </m:rPr>
              <m:t>7</m:t>
            </m:r>
            <m:r>
              <m:rPr>
                <m:sty m:val="p"/>
              </m:rPr>
              <m:t>,</m:t>
            </m:r>
            <m:r>
              <m:rPr>
                <m:sty m:val="p"/>
              </m:rPr>
              <m:t>6</m:t>
            </m:r>
            <m:r>
              <m:rPr>
                <m:sty m:val="p"/>
              </m:rPr>
              <m:t>×</m:t>
            </m:r>
            <m:sSup>
              <m:sSupPr/>
              <m:e>
                <m:r>
                  <m:rPr>
                    <m:sty m:val="p"/>
                  </m:rPr>
                  <m:t>10</m:t>
                </m:r>
              </m:e>
              <m:sup>
                <m:r>
                  <m:rPr>
                    <m:sty m:val="p"/>
                  </m:rPr>
                  <m:t>−</m:t>
                </m:r>
                <m:r>
                  <m:rPr>
                    <m:sty m:val="p"/>
                  </m:rPr>
                  <m:t>3</m:t>
                </m:r>
              </m:sup>
            </m:sSup>
            <m:r>
              <m:rPr>
                <m:nor/>
              </m:rPr>
              <m:t xml:space="preserve"> </m:t>
            </m:r>
            <m:r>
              <m:rPr>
                <m:sty m:val="p"/>
              </m:rPr>
              <m:t>S</m:t>
            </m:r>
            <m:r>
              <m:rPr>
                <m:sty m:val="p"/>
              </m:rPr>
              <m:t>⋅</m:t>
            </m:r>
            <m:sSup>
              <m:sSupPr/>
              <m:e>
                <m:r>
                  <m:rPr>
                    <m:nor/>
                  </m:rPr>
                  <m:t xml:space="preserve"> </m:t>
                </m:r>
                <m:r>
                  <m:rPr>
                    <m:sty m:val="p"/>
                  </m:rPr>
                  <m:t>m</m:t>
                </m:r>
              </m:e>
              <m:sup>
                <m:r>
                  <m:rPr>
                    <m:sty m:val="p"/>
                  </m:rPr>
                  <m:t>2</m:t>
                </m:r>
              </m:sup>
            </m:sSup>
            <m:r>
              <m:rPr>
                <m:sty m:val="p"/>
              </m:rPr>
              <m:t>⋅</m:t>
            </m:r>
            <m:sSup>
              <m:sSupPr/>
              <m:e>
                <m:r>
                  <m:rPr>
                    <m:nor/>
                  </m:rPr>
                  <m:t xml:space="preserve"> </m:t>
                </m:r>
                <m:r>
                  <m:rPr>
                    <m:sty m:val="p"/>
                  </m:rPr>
                  <m:t>mol</m:t>
                </m:r>
              </m:e>
              <m:sup>
                <m:r>
                  <m:rPr>
                    <m:sty m:val="p"/>
                  </m:rPr>
                  <m:t>−</m:t>
                </m:r>
                <m:r>
                  <m:rPr>
                    <m:sty m:val="p"/>
                  </m:rPr>
                  <m:t>1</m:t>
                </m:r>
              </m:sup>
            </m:sSup>
          </m:e>
        </m:d>
      </m:oMath>
      <w:r>
        <w:rPr/>
        <w:t xml:space="preserve"> et </w:t>
      </w:r>
      <m:oMath>
        <m:sSup>
          <m:sSupPr/>
          <m:e>
            <m:r>
              <m:rPr>
                <m:sty m:val="p"/>
              </m:rPr>
              <m:t>Li</m:t>
            </m:r>
          </m:e>
          <m:sup>
            <m:r>
              <m:rPr>
                <m:sty m:val="p"/>
              </m:rPr>
              <m:t>+</m:t>
            </m:r>
          </m:sup>
        </m:sSup>
        <m:d>
          <m:dPr>
            <m:begChr m:val="("/>
            <m:endChr m:val=")"/>
            <m:ctrlPr>
              <w:rPr>
                <w:rFonts w:ascii="Cambria Math" w:hAnsi="Cambria Math"/>
              </w:rPr>
            </m:ctrlPr>
          </m:dPr>
          <m:e>
            <m:r>
              <m:rPr>
                <m:sty m:val="p"/>
              </m:rPr>
              <m:t>3</m:t>
            </m:r>
            <m:r>
              <m:rPr>
                <m:sty m:val="p"/>
              </m:rPr>
              <m:t>,</m:t>
            </m:r>
            <m:r>
              <m:rPr>
                <m:sty m:val="p"/>
              </m:rPr>
              <m:t>9</m:t>
            </m:r>
            <m:r>
              <m:rPr>
                <m:sty m:val="p"/>
              </m:rPr>
              <m:t>×</m:t>
            </m:r>
            <m:sSup>
              <m:sSupPr/>
              <m:e>
                <m:r>
                  <m:rPr>
                    <m:sty m:val="p"/>
                  </m:rPr>
                  <m:t>10</m:t>
                </m:r>
              </m:e>
              <m:sup>
                <m:r>
                  <m:rPr>
                    <m:sty m:val="p"/>
                  </m:rPr>
                  <m:t>−</m:t>
                </m:r>
                <m:r>
                  <m:rPr>
                    <m:sty m:val="p"/>
                  </m:rPr>
                  <m:t>3</m:t>
                </m:r>
              </m:sup>
            </m:sSup>
            <m:r>
              <m:rPr>
                <m:nor/>
              </m:rPr>
              <m:t xml:space="preserve"> </m:t>
            </m:r>
            <m:r>
              <m:rPr>
                <m:sty m:val="p"/>
              </m:rPr>
              <m:t>S</m:t>
            </m:r>
            <m:r>
              <m:rPr>
                <m:sty m:val="p"/>
              </m:rPr>
              <m:t>⋅</m:t>
            </m:r>
            <m:sSup>
              <m:sSupPr/>
              <m:e>
                <m:r>
                  <m:rPr>
                    <m:nor/>
                  </m:rPr>
                  <m:t xml:space="preserve"> </m:t>
                </m:r>
                <m:r>
                  <m:rPr>
                    <m:sty m:val="p"/>
                  </m:rPr>
                  <m:t>m</m:t>
                </m:r>
              </m:e>
              <m:sup>
                <m:r>
                  <m:rPr>
                    <m:sty m:val="p"/>
                  </m:rPr>
                  <m:t>2</m:t>
                </m:r>
              </m:sup>
            </m:sSup>
            <m:r>
              <m:rPr>
                <m:sty m:val="p"/>
              </m:rPr>
              <m:t>⋅</m:t>
            </m:r>
            <m:sSup>
              <m:sSupPr/>
              <m:e>
                <m:r>
                  <m:rPr>
                    <m:nor/>
                  </m:rPr>
                  <m:t xml:space="preserve"> </m:t>
                </m:r>
                <m:r>
                  <m:rPr>
                    <m:sty m:val="p"/>
                  </m:rPr>
                  <m:t>mol</m:t>
                </m:r>
              </m:e>
              <m:sup>
                <m:r>
                  <m:rPr>
                    <m:sty m:val="p"/>
                  </m:rPr>
                  <m:t>−</m:t>
                </m:r>
                <m:r>
                  <m:rPr>
                    <m:sty m:val="p"/>
                  </m:rPr>
                  <m:t>1</m:t>
                </m:r>
              </m:sup>
            </m:sSup>
          </m:e>
        </m:d>
      </m:oMath>
      <w:r>
        <w:rPr>
          <w:rFonts w:eastAsia="Georgia" w:cs="Georgia" w:ascii="Georgia" w:hAnsi="Georgia"/>
        </w:rPr>
        <w:t xml:space="preserve">. Calculer la conductivité d'une solution de </w:t>
      </w:r>
      <m:oMath>
        <m:r>
          <m:rPr>
            <m:sty m:val="p"/>
          </m:rPr>
          <m:t>LiCl</m:t>
        </m:r>
        <m:r>
          <m:rPr>
            <m:sty m:val="p"/>
          </m:rPr>
          <m:t>1</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(à </w:t>
      </w:r>
      <m:oMath>
        <m:sSup>
          <m:sSupPr/>
          <m:e>
            <m:r>
              <m:rPr>
                <m:sty m:val="p"/>
              </m:rPr>
              <m:t>25</m:t>
            </m:r>
          </m:e>
          <m:sup>
            <m:r>
              <m:rPr>
                <m:sty m:val="p"/>
              </m:rPr>
              <m:t>∘</m:t>
            </m:r>
          </m:sup>
        </m:sSup>
        <m:r>
          <m:rPr>
            <m:sty m:val="p"/>
          </m:rPr>
          <m:t>C</m:t>
        </m:r>
      </m:oMath>
      <w:r>
        <w:rPr/>
        <w:t xml:space="preserve"> ). Commenter.</w:t>
      </w:r>
    </w:p>
    <w:p>
      <w:pPr>
        <w:spacing w:line="271" w:before="330" w:lineRule="auto"/>
      </w:pPr>
      <w:r>
        <w:rPr>
          <w:rFonts w:eastAsia="Georgia" w:cs="Georgia" w:ascii="Georgia" w:hAnsi="Georgia"/>
          <w:b/>
          <w:sz w:val="42"/>
        </w:rPr>
        <w:t xml:space="preserve">VI Cas d'un autre cristal liquide ionique nématogène.</w:t>
      </w:r>
    </w:p>
    <w:p>
      <w:pPr>
        <w:spacing w:after="220" w:lineRule="auto"/>
      </w:pPr>
      <w:r>
        <w:rPr>
          <w:rFonts w:eastAsia="Georgia" w:cs="Georgia" w:ascii="Georgia" w:hAnsi="Georgia"/>
        </w:rPr>
        <w:t xml:space="preserve">Pour compléter cette étude la molécule </w:t>
      </w:r>
      <m:oMath>
        <m:sSub>
          <m:sSubPr/>
          <m:e>
            <m:r>
              <m:rPr>
                <m:sty m:val="b"/>
              </m:rPr>
              <m:t>P</m:t>
            </m:r>
          </m:e>
          <m:sub>
            <m:r>
              <m:rPr>
                <m:sty m:val="p"/>
              </m:rPr>
              <m:t>13</m:t>
            </m:r>
          </m:sub>
        </m:sSub>
      </m:oMath>
      <w:r>
        <w:rPr>
          <w:rFonts w:eastAsia="Georgia" w:cs="Georgia" w:ascii="Georgia" w:hAnsi="Georgia"/>
        </w:rPr>
        <w:t xml:space="preserve"> représentée figure (12) a été synthétisée.</w:t>
      </w:r>
      <w:r>
        <w:rPr/>
        <w:br w:type="textWrapping"/>
      </w:r>
    </w:p>
    <w:p>
      <w:pPr>
        <w:spacing w:lineRule="auto"/>
      </w:pPr>
      <w:r>
        <w:rPr/>
        <w:drawing>
          <wp:inline distB="0" distL="0" distR="0" distT="0">
            <wp:extent cx="5486400" cy="1726621"/>
            <wp:effectExtent b="0" l="0" r="0" t="0"/>
            <wp:docPr id="13" name="image-svg-87647b2612be97422f72cd80017e50b50ce3e2ca.svg"/>
            <a:graphic>
              <a:graphicData uri="http://schemas.openxmlformats.org/drawingml/2006/picture">
                <pic:pic>
                  <pic:nvPicPr>
                    <pic:cNvPr id="13" name="image-svg-87647b2612be97422f72cd80017e50b50ce3e2ca.svg" descr=""/>
                    <pic:cNvPicPr/>
                  </pic:nvPicPr>
                  <pic:blipFill>
                    <a:blip r:embed="rId18" cstate="print">
                      <a:extLst>
                        <a:ext uri="">
                          <a14:useLocalDpi val="0"/>
                        </a:ext>
                        <a:ext uri="">
                          <asvg:svgBlip r:embed="rId17"/>
                        </a:ext>
                      </a:extLst>
                    </a:blip>
                    <a:srcRect b="0" l="0" r="0" t="0"/>
                    <a:stretch>
                      <a:fillRect/>
                    </a:stretch>
                  </pic:blipFill>
                  <pic:spPr>
                    <a:xfrm>
                      <a:off x="0" y="0"/>
                      <a:ext cx="5486400" cy="1726621"/>
                    </a:xfrm>
                    <a:prstGeom prst="rect"/>
                  </pic:spPr>
                </pic:pic>
              </a:graphicData>
            </a:graphic>
          </wp:inline>
        </w:drawing>
      </w:r>
    </w:p>
    <w:p>
      <w:pPr>
        <w:spacing w:after="220" w:lineRule="auto"/>
      </w:pPr>
      <w:r>
        <w:rPr>
          <w:rFonts w:eastAsia="Georgia" w:cs="Georgia" w:ascii="Georgia" w:hAnsi="Georgia"/>
        </w:rPr>
        <w:t xml:space="preserve">Figure 12 - Molécule </w:t>
      </w:r>
      <m:oMath>
        <m:sSub>
          <m:sSubPr/>
          <m:e>
            <m:r>
              <m:rPr>
                <m:sty m:val="b"/>
              </m:rPr>
              <m:t>P</m:t>
            </m:r>
          </m:e>
          <m:sub>
            <m:r>
              <m:rPr>
                <m:sty m:val="p"/>
              </m:rPr>
              <m:t>13</m:t>
            </m:r>
          </m:sub>
        </m:sSub>
      </m:oMath>
      <w:r>
        <w:rPr/>
        <w:t xml:space="preserve">.</w:t>
      </w:r>
    </w:p>
    <w:p>
      <w:pPr>
        <w:spacing w:lineRule="auto"/>
        <w:jc w:val="center"/>
      </w:pPr>
      <w:r>
        <w:rPr/>
        <w:drawing>
          <wp:inline distB="0" distL="0" distR="0" distT="0">
            <wp:extent cx="4286250" cy="1428750"/>
            <wp:effectExtent b="0" l="0" r="0" t="0"/>
            <wp:docPr id="15" name="image-6dc3a432e93ac30cad8f7f9245a319881ae95597.jpg"/>
            <a:graphic>
              <a:graphicData uri="http://schemas.openxmlformats.org/drawingml/2006/picture">
                <pic:pic>
                  <pic:nvPicPr>
                    <pic:cNvPr id="15" name="image-6dc3a432e93ac30cad8f7f9245a319881ae95597.jpg" descr=""/>
                    <pic:cNvPicPr/>
                  </pic:nvPicPr>
                  <pic:blipFill>
                    <a:blip r:embed="rId19" cstate="print"/>
                    <a:srcRect b="0" l="0" r="0" t="0"/>
                    <a:stretch>
                      <a:fillRect/>
                    </a:stretch>
                  </pic:blipFill>
                  <pic:spPr>
                    <a:xfrm>
                      <a:off x="0" y="0"/>
                      <a:ext cx="4286250" cy="1428750"/>
                    </a:xfrm>
                    <a:prstGeom prst="rect"/>
                  </pic:spPr>
                </pic:pic>
              </a:graphicData>
            </a:graphic>
          </wp:inline>
        </w:drawing>
      </w:r>
    </w:p>
    <w:p>
      <w:pPr>
        <w:spacing w:lineRule="auto"/>
      </w:pPr>
      <w:r>
        <w:rPr>
          <w:rFonts w:eastAsia="Georgia" w:cs="Georgia" w:ascii="Georgia" w:hAnsi="Georgia"/>
        </w:rPr>
        <w:t xml:space="preserve">Figure 13 - Réactif </w:t>
      </w:r>
      <m:oMath>
        <m:sSub>
          <m:sSubPr/>
          <m:e>
            <m:r>
              <m:rPr>
                <m:sty m:val="b"/>
              </m:rPr>
              <m:t>R</m:t>
            </m:r>
          </m:e>
          <m:sub>
            <m:r>
              <m:rPr>
                <m:sty m:val="p"/>
              </m:rPr>
              <m:t>1</m:t>
            </m:r>
          </m:sub>
        </m:sSub>
      </m:oMath>
      <w:r>
        <w:rPr/>
        <w:t xml:space="preserve">.</w:t>
      </w:r>
    </w:p>
    <w:p>
      <w:pPr>
        <w:spacing w:line="271" w:before="330" w:lineRule="auto"/>
      </w:pPr>
      <w:r>
        <w:rPr>
          <w:rFonts w:eastAsia="Georgia" w:cs="Georgia" w:ascii="Georgia" w:hAnsi="Georgia"/>
          <w:b/>
          <w:sz w:val="42"/>
        </w:rPr>
        <w:t xml:space="preserve">VI.A Synthèse de la molécule </w:t>
      </w:r>
      <m:oMath>
        <m:sSub>
          <m:sSubPr>
            <m:ctrlPr>
              <w:rPr>
                <w:rFonts w:ascii="Cambria Math" w:hAnsi="Cambria Math"/>
                <w:sz w:val="42"/>
              </w:rPr>
            </m:ctrlPr>
          </m:sSubPr>
          <m:e>
            <m:r>
              <m:rPr>
                <m:sty m:val="b"/>
              </m:rPr>
              <w:rPr>
                <w:sz w:val="42"/>
              </w:rPr>
              <m:t>P</m:t>
            </m:r>
          </m:e>
          <m:sub>
            <m:r>
              <m:rPr>
                <m:sty m:val="p"/>
              </m:rPr>
              <w:rPr>
                <w:sz w:val="42"/>
              </w:rPr>
              <m:t>13</m:t>
            </m:r>
          </m:sub>
        </m:sSub>
      </m:oMath>
      <w:r>
        <w:rPr>
          <w:b/>
          <w:sz w:val="42"/>
        </w:rPr>
        <w:t xml:space="preserve">.</w:t>
      </w:r>
    </w:p>
    <w:p>
      <w:pPr>
        <w:spacing w:after="220" w:lineRule="auto"/>
      </w:pPr>
      <w:r>
        <w:rPr>
          <w:rFonts w:eastAsia="Georgia" w:cs="Georgia" w:ascii="Georgia" w:hAnsi="Georgia"/>
        </w:rPr>
        <w:t xml:space="preserve">Soit le réactif </w:t>
      </w:r>
      <m:oMath>
        <m:sSub>
          <m:sSubPr/>
          <m:e>
            <m:r>
              <m:rPr>
                <m:sty m:val="b"/>
              </m:rPr>
              <m:t>R</m:t>
            </m:r>
          </m:e>
          <m:sub>
            <m:r>
              <m:rPr>
                <m:sty m:val="p"/>
              </m:rPr>
              <m:t>1</m:t>
            </m:r>
          </m:sub>
        </m:sSub>
      </m:oMath>
      <w:r>
        <w:rPr>
          <w:rFonts w:eastAsia="Georgia" w:cs="Georgia" w:ascii="Georgia" w:hAnsi="Georgia"/>
        </w:rPr>
        <w:t xml:space="preserve"> représenté figure (13). Ce réactif peut être synthétisé en deux étapes à partir du 1,2-dihydroxybenzène (catéchol).</w:t>
      </w:r>
      <w:r>
        <w:rPr/>
        <w:br w:type="textWrapping"/>
      </w:r>
      <w:r>
        <w:rPr>
          <w:rFonts w:eastAsia="Georgia" w:cs="Georgia" w:ascii="Georgia" w:hAnsi="Georgia"/>
        </w:rPr>
        <w:t xml:space="preserve">34. Lors de la première étape, le catéchol réagit avec le méthanal en milieu acide. Donner la structure du produit formé ainsi que le mécanisme de la réaction. Quelle serait la nature des sous-produits possibles?</w:t>
      </w:r>
      <w:r>
        <w:rPr/>
        <w:br w:type="textWrapping"/>
      </w:r>
      <w:r>
        <w:rPr>
          <w:rFonts w:eastAsia="Georgia" w:cs="Georgia" w:ascii="Georgia" w:hAnsi="Georgia"/>
        </w:rPr>
        <w:t xml:space="preserve">35. Ce produit réagit ensuite avec </w:t>
      </w:r>
      <m:oMath>
        <m:sSub>
          <m:sSubPr/>
          <m:e>
            <m:r>
              <m:rPr>
                <m:sty m:val="p"/>
              </m:rPr>
              <m:t>KMnO</m:t>
            </m:r>
          </m:e>
          <m:sub>
            <m:r>
              <m:rPr>
                <m:sty m:val="p"/>
              </m:rPr>
              <m:t>4</m:t>
            </m:r>
          </m:sub>
        </m:sSub>
      </m:oMath>
      <w:r>
        <w:rPr>
          <w:rFonts w:eastAsia="Georgia" w:cs="Georgia" w:ascii="Georgia" w:hAnsi="Georgia"/>
        </w:rPr>
        <w:t xml:space="preserve"> pour donner le réactif </w:t>
      </w:r>
      <m:oMath>
        <m:sSub>
          <m:sSubPr/>
          <m:e>
            <m:r>
              <m:rPr>
                <m:sty m:val="b"/>
              </m:rPr>
              <m:t>R</m:t>
            </m:r>
          </m:e>
          <m:sub>
            <m:r>
              <m:rPr>
                <m:sty m:val="p"/>
              </m:rPr>
              <m:t>1</m:t>
            </m:r>
          </m:sub>
        </m:sSub>
      </m:oMath>
      <w:r>
        <w:rPr>
          <w:rFonts w:eastAsia="Georgia" w:cs="Georgia" w:ascii="Georgia" w:hAnsi="Georgia"/>
        </w:rPr>
        <w:t xml:space="preserve">. Donner l'équation-bilan de cette réaction.</w:t>
      </w:r>
    </w:p>
    <w:p>
      <w:pPr>
        <w:spacing w:after="220" w:lineRule="auto"/>
      </w:pPr>
      <w:r>
        <w:rPr>
          <w:rFonts w:eastAsia="Georgia" w:cs="Georgia" w:ascii="Georgia" w:hAnsi="Georgia"/>
        </w:rPr>
        <w:t xml:space="preserve">Le réactif </w:t>
      </w:r>
      <m:oMath>
        <m:sSub>
          <m:sSubPr/>
          <m:e>
            <m:r>
              <m:rPr>
                <m:sty m:val="b"/>
              </m:rPr>
              <m:t>R</m:t>
            </m:r>
          </m:e>
          <m:sub>
            <m:r>
              <m:rPr>
                <m:sty m:val="p"/>
              </m:rPr>
              <m:t>1</m:t>
            </m:r>
          </m:sub>
        </m:sSub>
      </m:oMath>
      <w:r>
        <w:rPr>
          <w:rFonts w:eastAsia="Georgia" w:cs="Georgia" w:ascii="Georgia" w:hAnsi="Georgia"/>
        </w:rPr>
        <w:t xml:space="preserve"> peut être caractérisé par spectroscopie Infrarouge (IR) ainsi que par Résonance Magnétique Nucléaire du proton (RMN </w:t>
      </w:r>
      <m:oMath>
        <m:sSup>
          <m:sSupPr/>
          <m:e>
            <m:r>
              <m:t xml:space="preserve"> </m:t>
            </m:r>
          </m:e>
          <m:sup>
            <m:r>
              <m:rPr>
                <m:sty m:val="p"/>
              </m:rPr>
              <m:t>1</m:t>
            </m:r>
          </m:sup>
        </m:sSup>
        <m:r>
          <m:rPr>
            <m:sty m:val="p"/>
          </m:rPr>
          <m:t>H</m:t>
        </m:r>
      </m:oMath>
      <w:r>
        <w:rPr/>
        <w:t xml:space="preserve"> ).</w:t>
      </w:r>
      <w:r>
        <w:rPr/>
        <w:br w:type="textWrapping"/>
      </w:r>
      <w:r>
        <w:rPr>
          <w:rFonts w:eastAsia="Georgia" w:cs="Georgia" w:ascii="Georgia" w:hAnsi="Georgia"/>
        </w:rPr>
        <w:t xml:space="preserve">36. La figure (14) montre le spectre IR en transmittance qui a été enregistré sur le composé </w:t>
      </w:r>
      <m:oMath>
        <m:sSub>
          <m:sSubPr/>
          <m:e>
            <m:r>
              <m:rPr>
                <m:sty m:val="b"/>
              </m:rPr>
              <m:t>R</m:t>
            </m:r>
          </m:e>
          <m:sub>
            <m:r>
              <m:rPr>
                <m:sty m:val="p"/>
              </m:rPr>
              <m:t>1</m:t>
            </m:r>
          </m:sub>
        </m:sSub>
      </m:oMath>
      <w:r>
        <w:rPr/>
        <w:t xml:space="preserve">. Attribuer les bandes principales (voir tables en annexe).</w:t>
      </w:r>
      <w:r>
        <w:rPr/>
        <w:br w:type="textWrapping"/>
      </w:r>
      <w:r>
        <w:rPr/>
        <w:t xml:space="preserve">37. Le spectre RMN </w:t>
      </w:r>
      <m:oMath>
        <m:sSup>
          <m:sSupPr/>
          <m:e>
            <m:r>
              <m:t xml:space="preserve"> </m:t>
            </m:r>
          </m:e>
          <m:sup>
            <m:r>
              <m:rPr>
                <m:sty m:val="p"/>
              </m:rPr>
              <m:t>1</m:t>
            </m:r>
          </m:sup>
        </m:sSup>
        <m:r>
          <m:rPr>
            <m:sty m:val="p"/>
          </m:rPr>
          <m:t>H</m:t>
        </m:r>
      </m:oMath>
      <w:r>
        <w:rPr>
          <w:rFonts w:eastAsia="Georgia" w:cs="Georgia" w:ascii="Georgia" w:hAnsi="Georgia"/>
        </w:rPr>
        <w:t xml:space="preserve"> est représenté en figure (15). Attribuer les différents pics, justifier leur multiplicité et les gammes de déplacement chimique dans lesquelles ils sont observés (voir tables en annexe).</w:t>
      </w:r>
      <w:r>
        <w:rPr/>
        <w:br w:type="textWrapping"/>
      </w:r>
      <w:r>
        <w:rPr>
          <w:rFonts w:eastAsia="Georgia" w:cs="Georgia" w:ascii="Georgia" w:hAnsi="Georgia"/>
        </w:rPr>
        <w:t xml:space="preserve">Lors de la première étape de synthèse de la molécule </w:t>
      </w:r>
      <m:oMath>
        <m:sSub>
          <m:sSubPr/>
          <m:e>
            <m:r>
              <m:rPr>
                <m:sty m:val="b"/>
              </m:rPr>
              <m:t>P</m:t>
            </m:r>
          </m:e>
          <m:sub>
            <m:r>
              <m:rPr>
                <m:sty m:val="p"/>
              </m:rPr>
              <m:t>13</m:t>
            </m:r>
          </m:sub>
        </m:sSub>
      </m:oMath>
      <w:r>
        <w:rPr/>
        <w:t xml:space="preserve"> le produit </w:t>
      </w:r>
      <m:oMath>
        <m:sSub>
          <m:sSubPr/>
          <m:e>
            <m:r>
              <m:rPr>
                <m:sty m:val="b"/>
              </m:rPr>
              <m:t>P</m:t>
            </m:r>
          </m:e>
          <m:sub>
            <m:r>
              <m:rPr>
                <m:sty m:val="p"/>
              </m:rPr>
              <m:t>8</m:t>
            </m:r>
          </m:sub>
        </m:sSub>
      </m:oMath>
      <w:r>
        <w:rPr>
          <w:rFonts w:eastAsia="Georgia" w:cs="Georgia" w:ascii="Georgia" w:hAnsi="Georgia"/>
        </w:rPr>
        <w:t xml:space="preserve"> est préparé, dont la formule brute est </w:t>
      </w:r>
      <m:oMath>
        <m:sSub>
          <m:sSubPr/>
          <m:e>
            <m:r>
              <m:rPr>
                <m:sty m:val="p"/>
              </m:rPr>
              <m:t>C</m:t>
            </m:r>
          </m:e>
          <m:sub>
            <m:r>
              <m:rPr>
                <m:sty m:val="p"/>
              </m:rPr>
              <m:t>22</m:t>
            </m:r>
          </m:sub>
        </m:sSub>
        <m:sSub>
          <m:sSubPr/>
          <m:e>
            <m:r>
              <m:rPr>
                <m:sty m:val="p"/>
              </m:rPr>
              <m:t>H</m:t>
            </m:r>
          </m:e>
          <m:sub>
            <m:r>
              <m:rPr>
                <m:sty m:val="p"/>
              </m:rPr>
              <m:t>30</m:t>
            </m:r>
          </m:sub>
        </m:sSub>
        <m:sSub>
          <m:sSubPr/>
          <m:e>
            <m:r>
              <m:rPr>
                <m:sty m:val="p"/>
              </m:rPr>
              <m:t>O</m:t>
            </m:r>
          </m:e>
          <m:sub>
            <m:r>
              <m:rPr>
                <m:sty m:val="p"/>
              </m:rPr>
              <m:t>9</m:t>
            </m:r>
          </m:sub>
        </m:sSub>
        <m:sSub>
          <m:sSubPr/>
          <m:e>
            <m:r>
              <m:rPr>
                <m:nor/>
              </m:rPr>
              <m:t xml:space="preserve"> </m:t>
            </m:r>
            <m:r>
              <m:rPr>
                <m:sty m:val="p"/>
              </m:rPr>
              <m:t>S</m:t>
            </m:r>
          </m:e>
          <m:sub>
            <m:r>
              <m:rPr>
                <m:sty m:val="p"/>
              </m:rPr>
              <m:t>2</m:t>
            </m:r>
          </m:sub>
        </m:sSub>
      </m:oMath>
      <w:r>
        <w:rPr/>
        <w:t xml:space="preserve"> (figure (16)).</w:t>
      </w:r>
      <w:r>
        <w:rPr/>
        <w:br w:type="textWrapping"/>
      </w:r>
      <w:r>
        <w:rPr/>
        <w:t xml:space="preserve">38. Donner la structure de </w:t>
      </w:r>
      <m:oMath>
        <m:sSub>
          <m:sSubPr/>
          <m:e>
            <m:r>
              <m:rPr>
                <m:sty m:val="b"/>
              </m:rPr>
              <m:t>P</m:t>
            </m:r>
          </m:e>
          <m:sub>
            <m:r>
              <m:rPr>
                <m:sty m:val="p"/>
              </m:rPr>
              <m:t>8</m:t>
            </m:r>
          </m:sub>
        </m:sSub>
      </m:oMath>
      <w:r>
        <w:rPr/>
        <w:t xml:space="preserve">.</w:t>
      </w:r>
      <w:r>
        <w:rPr/>
        <w:br w:type="textWrapping"/>
      </w:r>
      <w:r>
        <w:rPr>
          <w:rFonts w:eastAsia="Georgia" w:cs="Georgia" w:ascii="Georgia" w:hAnsi="Georgia"/>
        </w:rPr>
        <w:t xml:space="preserve">39. Quel est le rôle de la pyridine </w:t>
      </w:r>
      <m:oMath>
        <m:d>
          <m:dPr>
            <m:begChr m:val="("/>
            <m:endChr m:val=")"/>
            <m:ctrlPr>
              <w:rPr>
                <w:rFonts w:ascii="Cambria Math" w:hAnsi="Cambria Math"/>
              </w:rPr>
            </m:ctrlPr>
          </m:dPr>
          <m:e>
            <m:sSub>
              <m:sSubPr/>
              <m:e>
                <m:r>
                  <m:rPr>
                    <m:sty m:val="p"/>
                  </m:rPr>
                  <m:t>C</m:t>
                </m:r>
              </m:e>
              <m:sub>
                <m:r>
                  <m:rPr>
                    <m:sty m:val="p"/>
                  </m:rPr>
                  <m:t>5</m:t>
                </m:r>
              </m:sub>
            </m:sSub>
            <m:sSub>
              <m:sSubPr/>
              <m:e>
                <m:r>
                  <m:rPr>
                    <m:sty m:val="p"/>
                  </m:rPr>
                  <m:t>H</m:t>
                </m:r>
              </m:e>
              <m:sub>
                <m:r>
                  <m:rPr>
                    <m:sty m:val="p"/>
                  </m:rPr>
                  <m:t>5</m:t>
                </m:r>
              </m:sub>
            </m:sSub>
            <m:r>
              <m:rPr>
                <m:nor/>
              </m:rPr>
              <m:t xml:space="preserve"> </m:t>
            </m:r>
            <m:r>
              <m:rPr>
                <m:sty m:val="p"/>
              </m:rPr>
              <m:t>N</m:t>
            </m:r>
          </m:e>
        </m:d>
      </m:oMath>
      <w:r>
        <w:rPr/>
        <w:t xml:space="preserve"> ?</w:t>
      </w:r>
    </w:p>
    <w:p>
      <w:pPr>
        <w:spacing w:after="220" w:lineRule="auto"/>
      </w:pPr>
      <w:r>
        <w:rPr>
          <w:rFonts w:eastAsia="Georgia" w:cs="Georgia" w:ascii="Georgia" w:hAnsi="Georgia"/>
        </w:rPr>
        <w:t xml:space="preserve">Le réactif </w:t>
      </w:r>
      <m:oMath>
        <m:sSub>
          <m:sSubPr/>
          <m:e>
            <m:r>
              <m:rPr>
                <m:sty m:val="b"/>
              </m:rPr>
              <m:t>R</m:t>
            </m:r>
          </m:e>
          <m:sub>
            <m:r>
              <m:rPr>
                <m:sty m:val="p"/>
              </m:rPr>
              <m:t>1</m:t>
            </m:r>
          </m:sub>
        </m:sSub>
      </m:oMath>
      <w:r>
        <w:rPr>
          <w:rFonts w:eastAsia="Georgia" w:cs="Georgia" w:ascii="Georgia" w:hAnsi="Georgia"/>
        </w:rPr>
        <w:t xml:space="preserve"> après traitement avec 3 équivalents d'une solution aqueuse de KOH , réagit avec </w:t>
      </w:r>
      <m:oMath>
        <m:sSub>
          <m:sSubPr/>
          <m:e>
            <m:r>
              <m:rPr>
                <m:sty m:val="b"/>
              </m:rPr>
              <m:t>P</m:t>
            </m:r>
          </m:e>
          <m:sub>
            <m:r>
              <m:rPr>
                <m:sty m:val="p"/>
              </m:rPr>
              <m:t>8</m:t>
            </m:r>
          </m:sub>
        </m:sSub>
      </m:oMath>
      <w:r>
        <w:rPr/>
        <w:t xml:space="preserve"> pour donner le produit </w:t>
      </w:r>
      <m:oMath>
        <m:sSub>
          <m:sSubPr/>
          <m:e>
            <m:r>
              <m:rPr>
                <m:sty m:val="b"/>
              </m:rPr>
              <m:t>P</m:t>
            </m:r>
          </m:e>
          <m:sub>
            <m:r>
              <m:rPr>
                <m:sty m:val="p"/>
              </m:rPr>
              <m:t>9</m:t>
            </m:r>
          </m:sub>
        </m:sSub>
      </m:oMath>
      <w:r>
        <w:rPr/>
        <w:t xml:space="preserve"> (figure (17)).</w:t>
      </w:r>
      <w:r>
        <w:rPr/>
        <w:br w:type="textWrapping"/>
      </w:r>
      <w:r>
        <w:rPr>
          <w:rFonts w:eastAsia="Georgia" w:cs="Georgia" w:ascii="Georgia" w:hAnsi="Georgia"/>
        </w:rPr>
        <w:t xml:space="preserve">40. Donner la structure du composé bicylique </w:t>
      </w:r>
      <m:oMath>
        <m:sSub>
          <m:sSubPr/>
          <m:e>
            <m:r>
              <m:rPr>
                <m:sty m:val="b"/>
              </m:rPr>
              <m:t>P</m:t>
            </m:r>
          </m:e>
          <m:sub>
            <m:r>
              <m:rPr>
                <m:sty m:val="p"/>
              </m:rPr>
              <m:t>9</m:t>
            </m:r>
          </m:sub>
        </m:sSub>
      </m:oMath>
      <w:r>
        <w:rPr>
          <w:rFonts w:eastAsia="Georgia" w:cs="Georgia" w:ascii="Georgia" w:hAnsi="Georgia"/>
        </w:rPr>
        <w:t xml:space="preserve">. Quels sous-produits de cette réaction peuvent être attendus?</w:t>
      </w:r>
      <w:r>
        <w:rPr/>
        <w:br w:type="textWrapping"/>
      </w:r>
      <w:r>
        <w:rPr>
          <w:rFonts w:eastAsia="Georgia" w:cs="Georgia" w:ascii="Georgia" w:hAnsi="Georgia"/>
        </w:rPr>
        <w:t xml:space="preserve">41. Une interprétation communément retenue du rôle du PEG consiste à supposer qu'il impose à </w:t>
      </w:r>
      <m:oMath>
        <m:sSub>
          <m:sSubPr/>
          <m:e>
            <m:r>
              <m:rPr>
                <m:sty m:val="b"/>
              </m:rPr>
              <m:t>P</m:t>
            </m:r>
          </m:e>
          <m:sub>
            <m:r>
              <m:rPr>
                <m:sty m:val="p"/>
              </m:rPr>
              <m:t>8</m:t>
            </m:r>
          </m:sub>
        </m:sSub>
      </m:oMath>
      <w:r>
        <w:rPr>
          <w:rFonts w:eastAsia="Georgia" w:cs="Georgia" w:ascii="Georgia" w:hAnsi="Georgia"/>
        </w:rPr>
        <w:t xml:space="preserve"> de ne réagir que sur une molécule </w:t>
      </w:r>
      <m:oMath>
        <m:sSub>
          <m:sSubPr/>
          <m:e>
            <m:r>
              <m:rPr>
                <m:sty m:val="b"/>
              </m:rPr>
              <m:t>R</m:t>
            </m:r>
          </m:e>
          <m:sub>
            <m:r>
              <m:rPr>
                <m:sty m:val="p"/>
              </m:rPr>
              <m:t>1</m:t>
            </m:r>
          </m:sub>
        </m:sSub>
      </m:oMath>
      <w:r>
        <w:rPr>
          <w:rFonts w:eastAsia="Georgia" w:cs="Georgia" w:ascii="Georgia" w:hAnsi="Georgia"/>
        </w:rPr>
        <w:t xml:space="preserve"> à la fois. En quoi cela favorise-t-il la formation de </w:t>
      </w:r>
      <m:oMath>
        <m:sSub>
          <m:sSubPr/>
          <m:e>
            <m:r>
              <m:rPr>
                <m:sty m:val="b"/>
              </m:rPr>
              <m:t>P</m:t>
            </m:r>
          </m:e>
          <m:sub>
            <m:r>
              <m:rPr>
                <m:sty m:val="p"/>
              </m:rPr>
              <m:t>9</m:t>
            </m:r>
          </m:sub>
        </m:sSub>
      </m:oMath>
      <w:r>
        <w:rPr/>
        <w:t xml:space="preserve"> ?</w:t>
      </w:r>
    </w:p>
    <w:p>
      <w:pPr>
        <w:spacing w:lineRule="auto"/>
        <w:jc w:val="center"/>
      </w:pPr>
      <w:r>
        <w:rPr/>
        <w:drawing>
          <wp:inline distB="0" distL="0" distR="0" distT="0">
            <wp:extent cx="5486400" cy="2841386"/>
            <wp:effectExtent b="0" l="0" r="0" t="0"/>
            <wp:docPr id="16" name="image-88f5549e460fe1ce15e94a39003706b252c48be2.jpg"/>
            <a:graphic>
              <a:graphicData uri="http://schemas.openxmlformats.org/drawingml/2006/picture">
                <pic:pic>
                  <pic:nvPicPr>
                    <pic:cNvPr id="16" name="image-88f5549e460fe1ce15e94a39003706b252c48be2.jpg" descr=""/>
                    <pic:cNvPicPr/>
                  </pic:nvPicPr>
                  <pic:blipFill>
                    <a:blip r:embed="rId20" cstate="print"/>
                    <a:srcRect b="0" l="0" r="0" t="0"/>
                    <a:stretch>
                      <a:fillRect/>
                    </a:stretch>
                  </pic:blipFill>
                  <pic:spPr>
                    <a:xfrm>
                      <a:off x="0" y="0"/>
                      <a:ext cx="5486400" cy="2841386"/>
                    </a:xfrm>
                    <a:prstGeom prst="rect"/>
                  </pic:spPr>
                </pic:pic>
              </a:graphicData>
            </a:graphic>
          </wp:inline>
        </w:drawing>
      </w:r>
    </w:p>
    <w:p>
      <w:pPr>
        <w:spacing w:lineRule="auto"/>
      </w:pPr>
      <w:r>
        <w:rPr>
          <w:rFonts w:eastAsia="Georgia" w:cs="Georgia" w:ascii="Georgia" w:hAnsi="Georgia"/>
        </w:rPr>
        <w:t xml:space="preserve">Figure 14 - Spectre IR du composé </w:t>
      </w:r>
      <m:oMath>
        <m:sSub>
          <m:sSubPr/>
          <m:e>
            <m:r>
              <m:rPr>
                <m:sty m:val="b"/>
              </m:rPr>
              <m:t>R</m:t>
            </m:r>
          </m:e>
          <m:sub>
            <m:r>
              <m:rPr>
                <m:sty m:val="p"/>
              </m:rPr>
              <m:t>1</m:t>
            </m:r>
          </m:sub>
        </m:sSub>
      </m:oMath>
      <w:r>
        <w:rPr/>
        <w:t xml:space="preserve"> (pastille KBr ).</w:t>
      </w:r>
    </w:p>
    <w:p>
      <w:pPr>
        <w:spacing w:lineRule="auto"/>
        <w:jc w:val="center"/>
      </w:pPr>
      <w:r>
        <w:rPr/>
        <w:drawing>
          <wp:inline distB="0" distL="0" distR="0" distT="0">
            <wp:extent cx="5486400" cy="3834745"/>
            <wp:effectExtent b="0" l="0" r="0" t="0"/>
            <wp:docPr id="17" name="image-773f85c21ac38dd8b407a1e5cf1953d78e954a50.jpg"/>
            <a:graphic>
              <a:graphicData uri="http://schemas.openxmlformats.org/drawingml/2006/picture">
                <pic:pic>
                  <pic:nvPicPr>
                    <pic:cNvPr id="17" name="image-773f85c21ac38dd8b407a1e5cf1953d78e954a50.jpg" descr=""/>
                    <pic:cNvPicPr/>
                  </pic:nvPicPr>
                  <pic:blipFill>
                    <a:blip r:embed="rId21" cstate="print"/>
                    <a:srcRect b="0" l="0" r="0" t="0"/>
                    <a:stretch>
                      <a:fillRect/>
                    </a:stretch>
                  </pic:blipFill>
                  <pic:spPr>
                    <a:xfrm>
                      <a:off x="0" y="0"/>
                      <a:ext cx="5486400" cy="3834745"/>
                    </a:xfrm>
                    <a:prstGeom prst="rect"/>
                  </pic:spPr>
                </pic:pic>
              </a:graphicData>
            </a:graphic>
          </wp:inline>
        </w:drawing>
      </w:r>
    </w:p>
    <w:p>
      <w:pPr>
        <w:spacing w:lineRule="auto"/>
      </w:pPr>
      <w:r>
        <w:rPr/>
        <w:t xml:space="preserve">Figure 15 - Spectre </w:t>
      </w:r>
      <m:oMath>
        <m:sSup>
          <m:sSupPr/>
          <m:e>
            <m:r>
              <m:t xml:space="preserve"> </m:t>
            </m:r>
          </m:e>
          <m:sup>
            <m:r>
              <m:rPr>
                <m:sty m:val="p"/>
              </m:rPr>
              <m:t>1</m:t>
            </m:r>
          </m:sup>
        </m:sSup>
        <m:r>
          <m:rPr>
            <m:sty m:val="p"/>
          </m:rPr>
          <m:t>H</m:t>
        </m:r>
      </m:oMath>
      <w:r>
        <w:rPr>
          <w:rFonts w:eastAsia="Georgia" w:cs="Georgia" w:ascii="Georgia" w:hAnsi="Georgia"/>
        </w:rPr>
        <w:t xml:space="preserve"> RMN du composé </w:t>
      </w:r>
      <m:oMath>
        <m:sSub>
          <m:sSubPr/>
          <m:e>
            <m:r>
              <m:rPr>
                <m:sty m:val="b"/>
              </m:rPr>
              <m:t>R</m:t>
            </m:r>
          </m:e>
          <m:sub>
            <m:r>
              <m:rPr>
                <m:sty m:val="p"/>
              </m:rPr>
              <m:t>1</m:t>
            </m:r>
          </m:sub>
        </m:sSub>
      </m:oMath>
      <w:r>
        <w:rPr>
          <w:rFonts w:eastAsia="Georgia" w:cs="Georgia" w:ascii="Georgia" w:hAnsi="Georgia"/>
        </w:rPr>
        <w:t xml:space="preserve"> dans le diméthylsulfoxyde (DMSO).</w:t>
      </w:r>
    </w:p>
    <w:p>
      <w:pPr>
        <w:spacing w:after="220" w:lineRule="auto"/>
      </w:pPr>
      <w:r>
        <w:rPr>
          <w:rFonts w:eastAsia="Georgia" w:cs="Georgia" w:ascii="Georgia" w:hAnsi="Georgia"/>
        </w:rPr>
        <w:t xml:space="preserve">À partir de la molécule </w:t>
      </w:r>
      <m:oMath>
        <m:sSub>
          <m:sSubPr/>
          <m:e>
            <m:r>
              <m:rPr>
                <m:sty m:val="b"/>
              </m:rPr>
              <m:t>P</m:t>
            </m:r>
          </m:e>
          <m:sub>
            <m:r>
              <m:rPr>
                <m:sty m:val="p"/>
              </m:rPr>
              <m:t>9</m:t>
            </m:r>
          </m:sub>
        </m:sSub>
      </m:oMath>
      <w:r>
        <w:rPr/>
        <w:t xml:space="preserve"> le produit </w:t>
      </w:r>
      <m:oMath>
        <m:sSub>
          <m:sSubPr/>
          <m:e>
            <m:r>
              <m:rPr>
                <m:sty m:val="b"/>
              </m:rPr>
              <m:t>P</m:t>
            </m:r>
          </m:e>
          <m:sub>
            <m:r>
              <m:rPr>
                <m:sty m:val="p"/>
              </m:rPr>
              <m:t>11</m:t>
            </m:r>
          </m:sub>
        </m:sSub>
      </m:oMath>
      <w:r>
        <w:rPr>
          <w:rFonts w:eastAsia="Georgia" w:cs="Georgia" w:ascii="Georgia" w:hAnsi="Georgia"/>
        </w:rPr>
        <w:t xml:space="preserve"> est synthétisé en deux étapes (figure (18)).</w:t>
      </w:r>
      <w:r>
        <w:rPr/>
        <w:br w:type="textWrapping"/>
      </w:r>
      <w:r>
        <w:rPr/>
        <w:t xml:space="preserve">42. Donner la structure de Lewis de </w:t>
      </w:r>
      <m:oMath>
        <m:sSub>
          <m:sSubPr/>
          <m:e>
            <m:r>
              <m:rPr>
                <m:sty m:val="p"/>
              </m:rPr>
              <m:t>SOCl</m:t>
            </m:r>
          </m:e>
          <m:sub>
            <m:r>
              <m:rPr>
                <m:sty m:val="p"/>
              </m:rPr>
              <m:t>2</m:t>
            </m:r>
          </m:sub>
        </m:sSub>
      </m:oMath>
      <w:r>
        <w:rPr/>
        <w:t xml:space="preserve"> et de la DMF (figure (18)).</w:t>
      </w:r>
      <w:r>
        <w:rPr/>
        <w:br w:type="textWrapping"/>
      </w:r>
      <w:r>
        <w:rPr/>
        <w:t xml:space="preserve">43. Indiquer la structure de </w:t>
      </w:r>
      <m:oMath>
        <m:sSub>
          <m:sSubPr/>
          <m:e>
            <m:r>
              <m:rPr>
                <m:sty m:val="b"/>
              </m:rPr>
              <m:t>P</m:t>
            </m:r>
          </m:e>
          <m:sub>
            <m:r>
              <m:rPr>
                <m:sty m:val="p"/>
              </m:rPr>
              <m:t>10</m:t>
            </m:r>
          </m:sub>
        </m:sSub>
      </m:oMath>
      <w:r>
        <w:rPr/>
        <w:t xml:space="preserve"> (figure (18)).</w:t>
      </w:r>
      <w:r>
        <w:rPr/>
        <w:br w:type="textWrapping"/>
      </w:r>
      <w:r>
        <w:rPr/>
        <w:t xml:space="preserve">44. Donner la structure de </w:t>
      </w:r>
      <m:oMath>
        <m:sSub>
          <m:sSubPr/>
          <m:e>
            <m:r>
              <m:rPr>
                <m:sty m:val="b"/>
              </m:rPr>
              <m:t>P</m:t>
            </m:r>
          </m:e>
          <m:sub>
            <m:r>
              <m:rPr>
                <m:sty m:val="p"/>
              </m:rPr>
              <m:t>11</m:t>
            </m:r>
          </m:sub>
        </m:sSub>
      </m:oMath>
      <w:r>
        <w:rPr>
          <w:rFonts w:eastAsia="Georgia" w:cs="Georgia" w:ascii="Georgia" w:hAnsi="Georgia"/>
        </w:rPr>
        <w:t xml:space="preserve">. Quel(s) sous-produit(s) peu(ven)t être attendu(s), et en quelle(s) proportion(s) ? Quel facteur permettra de favoriser la formation de </w:t>
      </w:r>
      <m:oMath>
        <m:sSub>
          <m:sSubPr/>
          <m:e>
            <m:r>
              <m:rPr>
                <m:sty m:val="b"/>
              </m:rPr>
              <m:t>P</m:t>
            </m:r>
          </m:e>
          <m:sub>
            <m:r>
              <m:rPr>
                <m:sty m:val="p"/>
              </m:rPr>
              <m:t>11</m:t>
            </m:r>
          </m:sub>
        </m:sSub>
      </m:oMath>
      <w:r>
        <w:rPr/>
        <w:t xml:space="preserve"> ?</w:t>
      </w:r>
      <w:r>
        <w:rPr/>
        <w:br w:type="textWrapping"/>
      </w:r>
      <w:r>
        <w:rPr>
          <w:rFonts w:eastAsia="Georgia" w:cs="Georgia" w:ascii="Georgia" w:hAnsi="Georgia"/>
        </w:rPr>
        <w:t xml:space="preserve">45. Par un raisonnement rétro-synthétique à détailler, donner la structure des synthons </w:t>
      </w:r>
      <m:oMath>
        <m:sSub>
          <m:sSubPr/>
          <m:e>
            <m:r>
              <m:rPr>
                <m:sty m:val="b"/>
              </m:rPr>
              <m:t>R</m:t>
            </m:r>
          </m:e>
          <m:sub>
            <m:r>
              <m:rPr>
                <m:sty m:val="p"/>
              </m:rPr>
              <m:t>2</m:t>
            </m:r>
          </m:sub>
        </m:sSub>
      </m:oMath>
      <w:r>
        <w:rPr/>
        <w:t xml:space="preserve"> et</w:t>
      </w:r>
    </w:p>
    <w:p>
      <w:pPr>
        <w:spacing w:lineRule="auto"/>
        <w:jc w:val="center"/>
      </w:pPr>
      <w:r>
        <w:rPr/>
        <w:drawing>
          <wp:inline distB="0" distL="0" distR="0" distT="0">
            <wp:extent cx="5486400" cy="619233"/>
            <wp:effectExtent b="0" l="0" r="0" t="0"/>
            <wp:docPr id="18" name="image-f183043a7a977dae90c359f452ca9ca33041c8a4.jpg"/>
            <a:graphic>
              <a:graphicData uri="http://schemas.openxmlformats.org/drawingml/2006/picture">
                <pic:pic>
                  <pic:nvPicPr>
                    <pic:cNvPr id="18" name="image-f183043a7a977dae90c359f452ca9ca33041c8a4.jpg" descr=""/>
                    <pic:cNvPicPr/>
                  </pic:nvPicPr>
                  <pic:blipFill>
                    <a:blip r:embed="rId22" cstate="print"/>
                    <a:srcRect b="0" l="0" r="0" t="0"/>
                    <a:stretch>
                      <a:fillRect/>
                    </a:stretch>
                  </pic:blipFill>
                  <pic:spPr>
                    <a:xfrm>
                      <a:off x="0" y="0"/>
                      <a:ext cx="5486400" cy="619233"/>
                    </a:xfrm>
                    <a:prstGeom prst="rect"/>
                  </pic:spPr>
                </pic:pic>
              </a:graphicData>
            </a:graphic>
          </wp:inline>
        </w:drawing>
      </w:r>
    </w:p>
    <w:p>
      <w:pPr>
        <w:spacing w:lineRule="auto"/>
      </w:pPr>
      <w:r>
        <w:rPr>
          <w:rFonts w:eastAsia="Georgia" w:cs="Georgia" w:ascii="Georgia" w:hAnsi="Georgia"/>
        </w:rPr>
        <w:t xml:space="preserve">Figure 16 - Synthèse de la molécule </w:t>
      </w:r>
      <m:oMath>
        <m:sSub>
          <m:sSubPr/>
          <m:e>
            <m:r>
              <m:rPr>
                <m:sty m:val="b"/>
              </m:rPr>
              <m:t>P</m:t>
            </m:r>
          </m:e>
          <m:sub>
            <m:r>
              <m:rPr>
                <m:sty m:val="p"/>
              </m:rPr>
              <m:t>8</m:t>
            </m:r>
          </m:sub>
        </m:sSub>
      </m:oMath>
      <w:r>
        <w:rPr/>
        <w:t xml:space="preserve">.</w:t>
      </w:r>
    </w:p>
    <w:p>
      <w:pPr>
        <w:spacing w:lineRule="auto"/>
        <w:jc w:val="center"/>
      </w:pPr>
      <w:r>
        <w:rPr/>
        <w:drawing>
          <wp:inline distB="0" distL="0" distR="0" distT="0">
            <wp:extent cx="5486400" cy="940706"/>
            <wp:effectExtent b="0" l="0" r="0" t="0"/>
            <wp:docPr id="19" name="image-c153ace369ce019d4d41274d965285099495f7da.jpg"/>
            <a:graphic>
              <a:graphicData uri="http://schemas.openxmlformats.org/drawingml/2006/picture">
                <pic:pic>
                  <pic:nvPicPr>
                    <pic:cNvPr id="19" name="image-c153ace369ce019d4d41274d965285099495f7da.jpg" descr=""/>
                    <pic:cNvPicPr/>
                  </pic:nvPicPr>
                  <pic:blipFill>
                    <a:blip r:embed="rId23" cstate="print"/>
                    <a:srcRect b="0" l="0" r="0" t="0"/>
                    <a:stretch>
                      <a:fillRect/>
                    </a:stretch>
                  </pic:blipFill>
                  <pic:spPr>
                    <a:xfrm>
                      <a:off x="0" y="0"/>
                      <a:ext cx="5486400" cy="940706"/>
                    </a:xfrm>
                    <a:prstGeom prst="rect"/>
                  </pic:spPr>
                </pic:pic>
              </a:graphicData>
            </a:graphic>
          </wp:inline>
        </w:drawing>
      </w:r>
    </w:p>
    <w:p>
      <w:pPr>
        <w:spacing w:lineRule="auto"/>
      </w:pPr>
      <w:r>
        <w:rPr>
          <w:rFonts w:eastAsia="Georgia" w:cs="Georgia" w:ascii="Georgia" w:hAnsi="Georgia"/>
        </w:rPr>
        <w:t xml:space="preserve">Figure 17 - Synthèse de la molécule </w:t>
      </w:r>
      <m:oMath>
        <m:sSub>
          <m:sSubPr/>
          <m:e>
            <m:r>
              <m:rPr>
                <m:sty m:val="b"/>
              </m:rPr>
              <m:t>P</m:t>
            </m:r>
          </m:e>
          <m:sub>
            <m:r>
              <m:rPr>
                <m:sty m:val="p"/>
              </m:rPr>
              <m:t>9</m:t>
            </m:r>
          </m:sub>
        </m:sSub>
      </m:oMath>
      <w:r>
        <w:rPr>
          <w:rFonts w:eastAsia="Georgia" w:cs="Georgia" w:ascii="Georgia" w:hAnsi="Georgia"/>
        </w:rPr>
        <w:t xml:space="preserve">. PEG = polyéthylène glycol.</w:t>
      </w:r>
    </w:p>
    <w:p>
      <w:pPr>
        <w:spacing w:lineRule="auto"/>
        <w:jc w:val="center"/>
      </w:pPr>
      <w:r>
        <w:rPr/>
        <w:drawing>
          <wp:inline distB="0" distL="0" distR="0" distT="0">
            <wp:extent cx="5486400" cy="5554695"/>
            <wp:effectExtent b="0" l="0" r="0" t="0"/>
            <wp:docPr id="20" name="image-10f8336531772b1cabc823a45aa0b625f5ae1c3c.jpg"/>
            <a:graphic>
              <a:graphicData uri="http://schemas.openxmlformats.org/drawingml/2006/picture">
                <pic:pic>
                  <pic:nvPicPr>
                    <pic:cNvPr id="20" name="image-10f8336531772b1cabc823a45aa0b625f5ae1c3c.jpg" descr=""/>
                    <pic:cNvPicPr/>
                  </pic:nvPicPr>
                  <pic:blipFill>
                    <a:blip r:embed="rId24" cstate="print"/>
                    <a:srcRect b="0" l="0" r="0" t="0"/>
                    <a:stretch>
                      <a:fillRect/>
                    </a:stretch>
                  </pic:blipFill>
                  <pic:spPr>
                    <a:xfrm>
                      <a:off x="0" y="0"/>
                      <a:ext cx="5486400" cy="5554695"/>
                    </a:xfrm>
                    <a:prstGeom prst="rect"/>
                  </pic:spPr>
                </pic:pic>
              </a:graphicData>
            </a:graphic>
          </wp:inline>
        </w:drawing>
      </w:r>
    </w:p>
    <w:p>
      <w:pPr>
        <w:spacing w:lineRule="auto"/>
      </w:pPr>
      <w:r>
        <w:rPr>
          <w:rFonts w:eastAsia="Georgia" w:cs="Georgia" w:ascii="Georgia" w:hAnsi="Georgia"/>
        </w:rPr>
        <w:t xml:space="preserve">Figure 18 - Synthèse de la molécule </w:t>
      </w:r>
      <m:oMath>
        <m:sSub>
          <m:sSubPr/>
          <m:e>
            <m:r>
              <m:rPr>
                <m:sty m:val="b"/>
              </m:rPr>
              <m:t>P</m:t>
            </m:r>
          </m:e>
          <m:sub>
            <m:r>
              <m:rPr>
                <m:sty m:val="p"/>
              </m:rPr>
              <m:t>13</m:t>
            </m:r>
          </m:sub>
        </m:sSub>
      </m:oMath>
      <w:r>
        <w:rPr>
          <w:rFonts w:eastAsia="Georgia" w:cs="Georgia" w:ascii="Georgia" w:hAnsi="Georgia"/>
        </w:rPr>
        <w:t xml:space="preserve">. DMF = diméthylformamide.</w:t>
      </w:r>
    </w:p>
    <w:p>
      <w:pPr>
        <w:spacing w:after="220" w:lineRule="auto"/>
      </w:pPr>
      <m:oMath>
        <m:sSub>
          <m:sSubPr/>
          <m:e>
            <m:r>
              <m:rPr>
                <m:sty m:val="b"/>
              </m:rPr>
              <m:t>R</m:t>
            </m:r>
          </m:e>
          <m:sub>
            <m:r>
              <m:rPr>
                <m:sty m:val="p"/>
              </m:rPr>
              <m:t>3</m:t>
            </m:r>
          </m:sub>
        </m:sSub>
      </m:oMath>
      <w:r>
        <w:rPr/>
        <w:t xml:space="preserve"> permettant d'obtenir </w:t>
      </w:r>
      <m:oMath>
        <m:sSub>
          <m:sSubPr/>
          <m:e>
            <m:r>
              <m:rPr>
                <m:sty m:val="b"/>
              </m:rPr>
              <m:t>P</m:t>
            </m:r>
          </m:e>
          <m:sub>
            <m:r>
              <m:rPr>
                <m:sty m:val="p"/>
              </m:rPr>
              <m:t>13</m:t>
            </m:r>
          </m:sub>
        </m:sSub>
      </m:oMath>
      <w:r>
        <w:rPr>
          <w:rFonts w:eastAsia="Georgia" w:cs="Georgia" w:ascii="Georgia" w:hAnsi="Georgia"/>
        </w:rPr>
        <w:t xml:space="preserve"> (figure (18)). Donner également la structure du composé </w:t>
      </w:r>
      <m:oMath>
        <m:sSub>
          <m:sSubPr/>
          <m:e>
            <m:r>
              <m:rPr>
                <m:sty m:val="b"/>
              </m:rPr>
              <m:t>P</m:t>
            </m:r>
          </m:e>
          <m:sub>
            <m:r>
              <m:rPr>
                <m:sty m:val="p"/>
              </m:rPr>
              <m:t>12</m:t>
            </m:r>
          </m:sub>
        </m:sSub>
      </m:oMath>
      <w:r>
        <w:rPr/>
        <w:t xml:space="preserve">.</w:t>
      </w:r>
    </w:p>
    <w:p>
      <w:pPr>
        <w:spacing w:line="271" w:before="330" w:lineRule="auto"/>
      </w:pPr>
      <w:r>
        <w:rPr>
          <w:rFonts w:eastAsia="Georgia" w:cs="Georgia" w:ascii="Georgia" w:hAnsi="Georgia"/>
          <w:b/>
          <w:sz w:val="42"/>
        </w:rPr>
        <w:t xml:space="preserve">VI.B Propriétés : conductivité ionique et effet supramoléculaire.</w:t>
      </w:r>
    </w:p>
    <w:p>
      <w:pPr>
        <w:spacing w:after="220" w:lineRule="auto"/>
      </w:pPr>
      <w:r>
        <w:rPr>
          <w:rFonts w:eastAsia="Georgia" w:cs="Georgia" w:ascii="Georgia" w:hAnsi="Georgia"/>
        </w:rPr>
        <w:t xml:space="preserve">On étudie le comportement du sel </w:t>
      </w:r>
      <m:oMath>
        <m:sSub>
          <m:sSubPr/>
          <m:e>
            <m:r>
              <m:rPr>
                <m:sty m:val="p"/>
              </m:rPr>
              <m:t>LiBF</m:t>
            </m:r>
          </m:e>
          <m:sub>
            <m:r>
              <m:rPr>
                <m:sty m:val="p"/>
              </m:rPr>
              <m:t>4</m:t>
            </m:r>
          </m:sub>
        </m:sSub>
      </m:oMath>
      <w:r>
        <w:rPr>
          <w:rFonts w:eastAsia="Georgia" w:cs="Georgia" w:ascii="Georgia" w:hAnsi="Georgia"/>
        </w:rPr>
        <w:t xml:space="preserve"> dissout dans le cristal liquide formé de </w:t>
      </w:r>
      <m:oMath>
        <m:sSub>
          <m:sSubPr/>
          <m:e>
            <m:r>
              <m:rPr>
                <m:sty m:val="b"/>
              </m:rPr>
              <m:t>P</m:t>
            </m:r>
          </m:e>
          <m:sub>
            <m:r>
              <m:rPr>
                <m:sty m:val="p"/>
              </m:rPr>
              <m:t>13</m:t>
            </m:r>
          </m:sub>
        </m:sSub>
      </m:oMath>
      <w:r>
        <w:rPr/>
        <w:t xml:space="preserve">. L'analyse des spectres RMN du </w:t>
      </w:r>
      <m:oMath>
        <m:sSup>
          <m:sSupPr/>
          <m:e>
            <m:r>
              <m:t xml:space="preserve"> </m:t>
            </m:r>
          </m:e>
          <m:sup>
            <m:r>
              <m:rPr>
                <m:sty m:val="p"/>
              </m:rPr>
              <m:t>7</m:t>
            </m:r>
          </m:sup>
        </m:sSup>
        <m:r>
          <m:rPr>
            <m:sty m:val="p"/>
          </m:rPr>
          <m:t>Li</m:t>
        </m:r>
      </m:oMath>
      <w:r>
        <w:rPr/>
        <w:t xml:space="preserve"> et </w:t>
      </w:r>
      <m:oMath>
        <m:sSup>
          <m:sSupPr/>
          <m:e>
            <m:r>
              <m:t xml:space="preserve"> </m:t>
            </m:r>
          </m:e>
          <m:sup>
            <m:r>
              <m:rPr>
                <m:sty m:val="p"/>
              </m:rPr>
              <m:t>11</m:t>
            </m:r>
          </m:sup>
        </m:sSup>
        <m:r>
          <m:rPr>
            <m:nor/>
          </m:rPr>
          <m:t xml:space="preserve"> </m:t>
        </m:r>
        <m:r>
          <m:rPr>
            <m:sty m:val="p"/>
          </m:rPr>
          <m:t>B</m:t>
        </m:r>
      </m:oMath>
      <w:r>
        <w:rPr>
          <w:rFonts w:eastAsia="Georgia" w:cs="Georgia" w:ascii="Georgia" w:hAnsi="Georgia"/>
        </w:rPr>
        <w:t xml:space="preserve"> montre que le cation est fortement complexé par la matrice du cristal liquide, et que sa coordinence est complétée par un anion </w:t>
      </w:r>
      <m:oMath>
        <m:sSubSup>
          <m:sSubSupPr/>
          <m:e>
            <m:r>
              <m:rPr>
                <m:sty m:val="p"/>
              </m:rPr>
              <m:t>BF</m:t>
            </m:r>
          </m:e>
          <m:sub>
            <m:r>
              <m:rPr>
                <m:sty m:val="p"/>
              </m:rPr>
              <m:t>4</m:t>
            </m:r>
          </m:sub>
          <m:sup>
            <m:r>
              <m:rPr>
                <m:sty m:val="p"/>
              </m:rPr>
              <m:t>−</m:t>
            </m:r>
          </m:sup>
        </m:sSubSup>
      </m:oMath>
      <w:r>
        <w:rPr/>
        <w:t xml:space="preserve">avec lequel il forme une paire d'ions stable.</w:t>
      </w:r>
      <w:r>
        <w:rPr/>
        <w:br w:type="textWrapping"/>
      </w:r>
      <w:r>
        <w:rPr>
          <w:rFonts w:eastAsia="Georgia" w:cs="Georgia" w:ascii="Georgia" w:hAnsi="Georgia"/>
        </w:rPr>
        <w:t xml:space="preserve">46. Justifier qualitativement le fait que le composé </w:t>
      </w:r>
      <m:oMath>
        <m:sSub>
          <m:sSubPr/>
          <m:e>
            <m:r>
              <m:rPr>
                <m:sty m:val="b"/>
              </m:rPr>
              <m:t>P</m:t>
            </m:r>
          </m:e>
          <m:sub>
            <m:r>
              <m:rPr>
                <m:sty m:val="p"/>
              </m:rPr>
              <m:t>13</m:t>
            </m:r>
          </m:sub>
        </m:sSub>
      </m:oMath>
      <w:r>
        <w:rPr/>
        <w:t xml:space="preserve"> soit susceptible de former une phase cristal liquide.</w:t>
      </w:r>
      <w:r>
        <w:rPr/>
        <w:br w:type="textWrapping"/>
      </w:r>
      <w:r>
        <w:rPr/>
        <w:t xml:space="preserve">47. Identifier le site d'interaction du cation avec </w:t>
      </w:r>
      <m:oMath>
        <m:sSub>
          <m:sSubPr/>
          <m:e>
            <m:r>
              <m:rPr>
                <m:sty m:val="b"/>
              </m:rPr>
              <m:t>P</m:t>
            </m:r>
          </m:e>
          <m:sub>
            <m:r>
              <m:rPr>
                <m:sty m:val="p"/>
              </m:rPr>
              <m:t>13</m:t>
            </m:r>
          </m:sub>
        </m:sSub>
      </m:oMath>
      <w:r>
        <w:rPr/>
        <w:t xml:space="preserve">. Comment s'appelle ce type de site d'interaction?</w:t>
      </w:r>
      <w:r>
        <w:rPr/>
        <w:br w:type="textWrapping"/>
      </w:r>
      <w:r>
        <w:rPr>
          <w:rFonts w:eastAsia="Georgia" w:cs="Georgia" w:ascii="Georgia" w:hAnsi="Georgia"/>
        </w:rPr>
        <w:t xml:space="preserve">48. La taille du site d'interaction joue-t-elle un rôle pour que cette interaction puisse exister?</w:t>
      </w:r>
      <w:r>
        <w:rPr/>
        <w:br w:type="textWrapping"/>
      </w:r>
      <w:r>
        <w:rPr>
          <w:rFonts w:eastAsia="Georgia" w:cs="Georgia" w:ascii="Georgia" w:hAnsi="Georgia"/>
        </w:rPr>
        <w:t xml:space="preserve">49. Dans ce cas, quel mécanisme de transport de charge ( 1,2 ou 3 ) est favorisé par le cristal liquide ionique constitué de </w:t>
      </w:r>
      <m:oMath>
        <m:sSub>
          <m:sSubPr/>
          <m:e>
            <m:r>
              <m:rPr>
                <m:sty m:val="b"/>
              </m:rPr>
              <m:t>P</m:t>
            </m:r>
          </m:e>
          <m:sub>
            <m:r>
              <m:rPr>
                <m:sty m:val="p"/>
              </m:rPr>
              <m:t>13</m:t>
            </m:r>
          </m:sub>
        </m:sSub>
      </m:oMath>
      <w:r>
        <w:rPr/>
        <w:t xml:space="preserve"> ?</w:t>
      </w:r>
      <w:r>
        <w:rPr/>
        <w:br w:type="textWrapping"/>
      </w:r>
      <w:r>
        <w:rPr/>
        <w:t xml:space="preserve">50. Le comportement de </w:t>
      </w:r>
      <m:oMath>
        <m:sSub>
          <m:sSubPr/>
          <m:e>
            <m:r>
              <m:rPr>
                <m:sty m:val="b"/>
              </m:rPr>
              <m:t>P</m:t>
            </m:r>
          </m:e>
          <m:sub>
            <m:r>
              <m:rPr>
                <m:sty m:val="p"/>
              </m:rPr>
              <m:t>13</m:t>
            </m:r>
          </m:sub>
        </m:sSub>
      </m:oMath>
      <w:r>
        <w:rPr>
          <w:rFonts w:eastAsia="Georgia" w:cs="Georgia" w:ascii="Georgia" w:hAnsi="Georgia"/>
        </w:rPr>
        <w:t xml:space="preserve"> en tant que cristal liquide ionique se rapproche-t-il plutôt de celui de </w:t>
      </w:r>
      <m:oMath>
        <m:sSub>
          <m:sSubPr/>
          <m:e>
            <m:r>
              <m:rPr>
                <m:sty m:val="b"/>
              </m:rPr>
              <m:t>P</m:t>
            </m:r>
          </m:e>
          <m:sub>
            <m:r>
              <m:rPr>
                <m:sty m:val="p"/>
              </m:rPr>
              <m:t>6</m:t>
            </m:r>
          </m:sub>
        </m:sSub>
      </m:oMath>
      <w:r>
        <w:rPr/>
        <w:t xml:space="preserve"> ou </w:t>
      </w:r>
      <m:oMath>
        <m:sSub>
          <m:sSubPr/>
          <m:e>
            <m:r>
              <m:rPr>
                <m:sty m:val="b"/>
              </m:rPr>
              <m:t>P</m:t>
            </m:r>
          </m:e>
          <m:sub>
            <m:r>
              <m:rPr>
                <m:sty m:val="p"/>
              </m:rPr>
              <m:t>7</m:t>
            </m:r>
          </m:sub>
        </m:sSub>
      </m:oMath>
      <w:r>
        <w:rPr>
          <w:rFonts w:eastAsia="Georgia" w:cs="Georgia" w:ascii="Georgia" w:hAnsi="Georgia"/>
        </w:rPr>
        <w:t xml:space="preserve"> ? Justifier la réponse.</w:t>
      </w:r>
    </w:p>
    <w:p>
      <w:pPr>
        <w:spacing w:line="271" w:before="330" w:lineRule="auto"/>
      </w:pPr>
      <w:r>
        <w:rPr>
          <w:b/>
          <w:sz w:val="42"/>
        </w:rPr>
        <w:t xml:space="preserve">Annexes.</w:t>
      </w:r>
    </w:p>
    <w:p>
      <w:pPr>
        <w:spacing w:line="271" w:before="330" w:lineRule="auto"/>
      </w:pPr>
      <w:r>
        <w:rPr>
          <w:b/>
          <w:sz w:val="42"/>
        </w:rPr>
        <w:t xml:space="preserve">Table de vibrations en spectroscopie IR.</w:t>
      </w:r>
    </w:p>
    <w:p>
      <w:pPr>
        <w:spacing w:lineRule="auto"/>
        <w:jc w:val="center"/>
      </w:pPr>
      <w:r>
        <w:rPr/>
        <w:drawing>
          <wp:inline distB="0" distL="0" distR="0" distT="0">
            <wp:extent cx="5486400" cy="1498993"/>
            <wp:effectExtent b="0" l="0" r="0" t="0"/>
            <wp:docPr id="21" name="image-b75ac55b2f00e6e940feac8a9629a50cbaa50e2d.jpg"/>
            <a:graphic>
              <a:graphicData uri="http://schemas.openxmlformats.org/drawingml/2006/picture">
                <pic:pic>
                  <pic:nvPicPr>
                    <pic:cNvPr id="21" name="image-b75ac55b2f00e6e940feac8a9629a50cbaa50e2d.jpg" descr=""/>
                    <pic:cNvPicPr/>
                  </pic:nvPicPr>
                  <pic:blipFill>
                    <a:blip r:embed="rId25" cstate="print"/>
                    <a:srcRect b="0" l="0" r="0" t="0"/>
                    <a:stretch>
                      <a:fillRect/>
                    </a:stretch>
                  </pic:blipFill>
                  <pic:spPr>
                    <a:xfrm>
                      <a:off x="0" y="0"/>
                      <a:ext cx="5486400" cy="1498993"/>
                    </a:xfrm>
                    <a:prstGeom prst="rect"/>
                  </pic:spPr>
                </pic:pic>
              </a:graphicData>
            </a:graphic>
          </wp:inline>
        </w:drawing>
      </w:r>
    </w:p>
    <w:p>
      <w:pPr>
        <w:spacing w:lineRule="auto"/>
      </w:pPr>
      <w:r>
        <w:rPr>
          <w:rFonts w:eastAsia="Georgia" w:cs="Georgia" w:ascii="Georgia" w:hAnsi="Georgia"/>
        </w:rPr>
        <w:t xml:space="preserve">Table de déplacements chimiques en spectroscopie </w:t>
      </w:r>
      <m:oMath>
        <m:r>
          <m:rPr>
            <m:sty m:val="b"/>
          </m:rPr>
          <m:t>R</m:t>
        </m:r>
        <m:r>
          <m:rPr>
            <m:sty m:val="b"/>
          </m:rPr>
          <m:t>M</m:t>
        </m:r>
        <m:r>
          <m:rPr>
            <m:sty m:val="b"/>
          </m:rPr>
          <m:t>N</m:t>
        </m:r>
        <m:sSup>
          <m:sSupPr/>
          <m:e>
            <m:r>
              <m:t xml:space="preserve"> </m:t>
            </m:r>
          </m:e>
          <m:sup>
            <m:r>
              <m:rPr>
                <m:sty m:val="b"/>
              </m:rPr>
              <m:t>1</m:t>
            </m:r>
          </m:sup>
        </m:sSup>
        <m:r>
          <m:rPr>
            <m:sty m:val="b"/>
          </m:rPr>
          <m:t>H</m:t>
        </m:r>
      </m:oMath>
      <w:r>
        <w:rPr/>
        <w:t xml:space="preserve">.</w:t>
      </w:r>
    </w:p>
    <w:p>
      <w:pPr>
        <w:spacing w:lineRule="auto"/>
        <w:jc w:val="center"/>
      </w:pPr>
      <w:r>
        <w:rPr/>
        <w:drawing>
          <wp:inline distB="0" distL="0" distR="0" distT="0">
            <wp:extent cx="5486400" cy="4435598"/>
            <wp:effectExtent b="0" l="0" r="0" t="0"/>
            <wp:docPr id="22" name="image-f3b857a9cd506c7f288199eb34efc089a49cf4f1.jpg"/>
            <a:graphic>
              <a:graphicData uri="http://schemas.openxmlformats.org/drawingml/2006/picture">
                <pic:pic>
                  <pic:nvPicPr>
                    <pic:cNvPr id="22" name="image-f3b857a9cd506c7f288199eb34efc089a49cf4f1.jpg" descr=""/>
                    <pic:cNvPicPr/>
                  </pic:nvPicPr>
                  <pic:blipFill>
                    <a:blip r:embed="rId26" cstate="print"/>
                    <a:srcRect b="0" l="0" r="0" t="0"/>
                    <a:stretch>
                      <a:fillRect/>
                    </a:stretch>
                  </pic:blipFill>
                  <pic:spPr>
                    <a:xfrm>
                      <a:off x="0" y="0"/>
                      <a:ext cx="5486400" cy="4435598"/>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3"/>
      <w:numFmt w:val="decimal"/>
      <w:lvlText w:val="%1."/>
      <w:lvlJc w:val="left"/>
      <w:pPr>
        <w:tabs>
          <w:tab w:val="num" w:pos="1080"/>
        </w:tabs>
        <w:ind w:left="720" w:hanging="360"/>
      </w:pPr>
    </w:lvl>
  </w:abstractNum>
  <w:abstractNum w:abstractNumId="4">
    <w:multiLevelType w:val="hybridMultilevel"/>
    <w:lvl w:ilvl="0">
      <w:start w:val="6"/>
      <w:numFmt w:val="decimal"/>
      <w:lvlText w:val="%1."/>
      <w:lvlJc w:val="left"/>
      <w:pPr>
        <w:tabs>
          <w:tab w:val="num" w:pos="1080"/>
        </w:tabs>
        <w:ind w:left="720" w:hanging="360"/>
      </w:pPr>
    </w:lvl>
  </w:abstractNum>
  <w:abstractNum w:abstractNumId="5">
    <w:multiLevelType w:val="hybridMultilevel"/>
    <w:lvl w:ilvl="0">
      <w:start w:val="7"/>
      <w:numFmt w:val="decimal"/>
      <w:lvlText w:val="%1."/>
      <w:lvlJc w:val="left"/>
      <w:pPr>
        <w:tabs>
          <w:tab w:val="num" w:pos="1080"/>
        </w:tabs>
        <w:ind w:left="720" w:hanging="360"/>
      </w:pPr>
    </w:lvl>
  </w:abstractNum>
  <w:abstractNum w:abstractNumId="6">
    <w:multiLevelType w:val="hybridMultilevel"/>
    <w:lvl w:ilvl="0">
      <w:start w:val="19"/>
      <w:numFmt w:val="decimal"/>
      <w:lvlText w:val="%1."/>
      <w:lvlJc w:val="left"/>
      <w:pPr>
        <w:tabs>
          <w:tab w:val="num" w:pos="1080"/>
        </w:tabs>
        <w:ind w:left="720" w:hanging="360"/>
      </w:pPr>
    </w:lvl>
  </w:abstractNum>
  <w:abstractNum w:abstractNumId="7">
    <w:multiLevelType w:val="hybridMultilevel"/>
    <w:lvl w:ilvl="0">
      <w:start w:val="1"/>
      <w:numFmt w:val="decimal"/>
      <w:lvlText w:val="%1."/>
      <w:lvlJc w:val="left"/>
      <w:pPr>
        <w:tabs>
          <w:tab w:val="num" w:pos="1080"/>
        </w:tabs>
        <w:ind w:left="720" w:hanging="360"/>
      </w:pPr>
    </w:lvl>
  </w:abstractNum>
  <w:abstractNum w:abstractNumId="8">
    <w:multiLevelType w:val="hybridMultilevel"/>
    <w:lvl w:ilvl="0">
      <w:start w:val="6"/>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2"/>
      <w:numFmt w:val="decimal"/>
      <w:lvlText w:val="%1."/>
      <w:lvlJc w:val="left"/>
      <w:pPr>
        <w:tabs>
          <w:tab w:val="num" w:pos="1080"/>
        </w:tabs>
        <w:ind w:left="720" w:hanging="360"/>
      </w:pPr>
    </w:lvl>
  </w:abstractNum>
  <w:abstractNum w:abstractNumId="11">
    <w:multiLevelType w:val="hybridMultilevel"/>
    <w:lvl w:ilvl="0">
      <w:start w:val="15"/>
      <w:numFmt w:val="decimal"/>
      <w:lvlText w:val="%1."/>
      <w:lvlJc w:val="left"/>
      <w:pPr>
        <w:tabs>
          <w:tab w:val="num" w:pos="1080"/>
        </w:tabs>
        <w:ind w:left="720" w:hanging="360"/>
      </w:pPr>
    </w:lvl>
  </w:abstractNum>
  <w:abstractNum w:abstractNumId="12">
    <w:multiLevelType w:val="hybridMultilevel"/>
    <w:lvl w:ilvl="0">
      <w:start w:val="16"/>
      <w:numFmt w:val="decimal"/>
      <w:lvlText w:val="%1."/>
      <w:lvlJc w:val="left"/>
      <w:pPr>
        <w:tabs>
          <w:tab w:val="num" w:pos="1080"/>
        </w:tabs>
        <w:ind w:left="720" w:hanging="360"/>
      </w:p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27"/>
      <w:numFmt w:val="decimal"/>
      <w:lvlText w:val="%1."/>
      <w:lvlJc w:val="left"/>
      <w:pPr>
        <w:tabs>
          <w:tab w:val="num" w:pos="1080"/>
        </w:tabs>
        <w:ind w:left="720" w:hanging="360"/>
      </w:pPr>
    </w:lvl>
  </w:abstractNum>
  <w:abstractNum w:abstractNumId="16">
    <w:multiLevelType w:val="hybridMultilevel"/>
    <w:lvl w:ilvl="0">
      <w:start w:val="31"/>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211ac2bdb1f95fddc2a81b8d417209051969f0a.jpg" TargetMode="Internal"/><Relationship Id="rId6" Type="http://schemas.openxmlformats.org/officeDocument/2006/relationships/image" Target="media/image-64a612291525669ce62396128844c5ea581dacf0.jpg" TargetMode="Internal"/><Relationship Id="rId7" Type="http://schemas.openxmlformats.org/officeDocument/2006/relationships/image" Target="media/image-f27267a7606b9d2b61108c40cac3153e3abfce83.jpg" TargetMode="Internal"/><Relationship Id="rId8" Type="http://schemas.openxmlformats.org/officeDocument/2006/relationships/image" Target="media/image-e65eba0293ead8c7567e17d09bd07ed343a07958.jpg" TargetMode="Internal"/><Relationship Id="rId9" Type="http://schemas.openxmlformats.org/officeDocument/2006/relationships/image" Target="media/image-ce1f94f5bdaf3876d7ccde80d60df30cdb89994c.jpg" TargetMode="Internal"/><Relationship Id="rId10" Type="http://schemas.openxmlformats.org/officeDocument/2006/relationships/image" Target="media/image-404b60f034fe11c5c8155c8352ec7791a02d8c6d.jpg" TargetMode="Internal"/><Relationship Id="rId11" Type="http://schemas.openxmlformats.org/officeDocument/2006/relationships/image" Target="media/image-svg-197426cf9d722352041a32ccf9955fd8f1a45ffc.svg" TargetMode="Internal"/><Relationship Id="rId12" Type="http://schemas.openxmlformats.org/officeDocument/2006/relationships/image" Target="media/image-svg-197426cf9d722352041a32ccf9955fd8f1a45ffc.png" TargetMode="Internal"/><Relationship Id="rId13" Type="http://schemas.openxmlformats.org/officeDocument/2006/relationships/image" Target="media/image-1041d64602af27456b873182054a395f16f951fc.jpg" TargetMode="Internal"/><Relationship Id="rId14" Type="http://schemas.openxmlformats.org/officeDocument/2006/relationships/image" Target="media/image-2ad54835568cb46a2340321e6e6388257de7b87e.jpg" TargetMode="Internal"/><Relationship Id="rId15" Type="http://schemas.openxmlformats.org/officeDocument/2006/relationships/image" Target="media/image-af3d7dc53a7b063c31af8fa62de353fcaf3e888f.jpg" TargetMode="Internal"/><Relationship Id="rId16" Type="http://schemas.openxmlformats.org/officeDocument/2006/relationships/image" Target="media/image-30d06ea8384a281d0d55c62de51148513f6fb4b2.jpg" TargetMode="Internal"/><Relationship Id="rId17" Type="http://schemas.openxmlformats.org/officeDocument/2006/relationships/image" Target="media/image-svg-87647b2612be97422f72cd80017e50b50ce3e2ca.svg" TargetMode="Internal"/><Relationship Id="rId18" Type="http://schemas.openxmlformats.org/officeDocument/2006/relationships/image" Target="media/image-svg-87647b2612be97422f72cd80017e50b50ce3e2ca.png" TargetMode="Internal"/><Relationship Id="rId19" Type="http://schemas.openxmlformats.org/officeDocument/2006/relationships/image" Target="media/image-6dc3a432e93ac30cad8f7f9245a319881ae95597.jpg" TargetMode="Internal"/><Relationship Id="rId20" Type="http://schemas.openxmlformats.org/officeDocument/2006/relationships/image" Target="media/image-88f5549e460fe1ce15e94a39003706b252c48be2.jpg" TargetMode="Internal"/><Relationship Id="rId21" Type="http://schemas.openxmlformats.org/officeDocument/2006/relationships/image" Target="media/image-773f85c21ac38dd8b407a1e5cf1953d78e954a50.jpg" TargetMode="Internal"/><Relationship Id="rId22" Type="http://schemas.openxmlformats.org/officeDocument/2006/relationships/image" Target="media/image-f183043a7a977dae90c359f452ca9ca33041c8a4.jpg" TargetMode="Internal"/><Relationship Id="rId23" Type="http://schemas.openxmlformats.org/officeDocument/2006/relationships/image" Target="media/image-c153ace369ce019d4d41274d965285099495f7da.jpg" TargetMode="Internal"/><Relationship Id="rId24" Type="http://schemas.openxmlformats.org/officeDocument/2006/relationships/image" Target="media/image-10f8336531772b1cabc823a45aa0b625f5ae1c3c.jpg" TargetMode="Internal"/><Relationship Id="rId25" Type="http://schemas.openxmlformats.org/officeDocument/2006/relationships/image" Target="media/image-b75ac55b2f00e6e940feac8a9629a50cbaa50e2d.jpg" TargetMode="Internal"/><Relationship Id="rId26" Type="http://schemas.openxmlformats.org/officeDocument/2006/relationships/image" Target="media/image-f3b857a9cd506c7f288199eb34efc089a49cf4f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2025-09-04T21:33:42.673Z</dcterms:created>
  <dcterms:modified xsi:type="dcterms:W3CDTF">2025-09-04T21:33:42.673Z</dcterms:modified>
</cp:coreProperties>
</file>