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SESSION 2004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88" w:after="220" w:lineRule="auto"/>
        <w:jc w:val="center"/>
      </w:pPr>
      <w:r>
        <w:rPr>
          <w:b/>
          <w:sz w:val="56"/>
        </w:rPr>
        <w:t xml:space="preserve">Epreuve commune aux ENS de Paris et Lyon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6 heures</w:t>
      </w:r>
    </w:p>
    <w:p>
      <w:pPr>
        <w:spacing w:after="220" w:lineRule="auto"/>
      </w:pPr>
      <w:r>
        <w:rPr/>
        <w:t xml:space="preserve">L'usage de toute calculatrice est interdit.</w:t>
      </w:r>
      <w:r>
        <w:rPr/>
        <w:br w:type="textWrapping"/>
      </w:r>
      <w:r>
        <w:rPr>
          <w:rFonts w:eastAsia="Georgia" w:cs="Georgia" w:ascii="Georgia" w:hAnsi="Georgia"/>
        </w:rPr>
        <w:t xml:space="preserve">Aucun document n'est autorisé.</w:t>
      </w:r>
    </w:p>
    <w:p>
      <w:pPr>
        <w:spacing w:line="271" w:before="330" w:lineRule="auto"/>
      </w:pPr>
      <w:r>
        <w:rPr>
          <w:b/>
          <w:sz w:val="42"/>
        </w:rPr>
        <w:t xml:space="preserve">AVERTISSEMENT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qualité de la rédaction sera un élément important d'appréciation des copies. Pour traiter une question, le candidat peut utiliser les résultats énoncés dans les questions ou parties précédentes.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I, II, et III sont indépendantes.</w:t>
      </w:r>
    </w:p>
    <w:p>
      <w:pPr>
        <w:spacing w:line="271" w:before="330" w:lineRule="auto"/>
      </w:pPr>
      <w:r>
        <w:rPr>
          <w:b/>
          <w:sz w:val="42"/>
        </w:rPr>
        <w:t xml:space="preserve">NOTATIONS ET CONVENTIONS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on désigne par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des entiers naturels non nuls. On note </w:t>
      </w:r>
      <m:oMath>
        <m:r>
          <m:rPr>
            <m:scr m:val="double-struck"/>
          </m:rPr>
          <m:t>C</m:t>
        </m:r>
      </m:oMath>
      <w:r>
        <w:rPr/>
        <w:t xml:space="preserve"> le corps des nombres complexes et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celui des nombres réels. Pour tout sous-corps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cr m:val="double-struck"/>
          </m:rPr>
          <m:t>C</m:t>
        </m:r>
      </m:oMath>
      <w:r>
        <w:rPr/>
        <w:t xml:space="preserve">, on appelle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l'ensemble des matrices à </w:t>
      </w:r>
      <m:oMath>
        <m:r>
          <m:rPr>
            <m:sty m:val="i"/>
          </m:rPr>
          <m:t>p</m:t>
        </m:r>
      </m:oMath>
      <w:r>
        <w:rPr/>
        <w:t xml:space="preserve"> lignes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colonnes (respectivement des matrices carrées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 à coefficients dans </w:t>
      </w:r>
      <m:oMath>
        <m:r>
          <m:rPr>
            <m:sty m:val="i"/>
          </m:rPr>
          <m:t>K</m:t>
        </m:r>
      </m:oMath>
      <w:r>
        <w:rPr/>
        <w:t xml:space="preserve">. On identifie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au </w:t>
      </w:r>
      <m:oMath>
        <m:r>
          <m:rPr>
            <m:sty m:val="i"/>
          </m:rPr>
          <m:t>K</m:t>
        </m:r>
      </m:oMath>
      <w:r>
        <w:rPr/>
        <w:t xml:space="preserve">-espace vectoriel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des matrices colonnes, ce qui permet de parler de </w:t>
      </w:r>
      <m:oMath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 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le sous-ensemble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des matrices inversibles. On rappelle que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, muni du produit matriciel, est un groupe (non commutatif si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) dont l'élément neutre est la matrice identité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note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le sous-groupe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matrices de déterminant 1. On identifie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au groupe multiplicatif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des éléments non nuls de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 élément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note </w:t>
      </w:r>
      <m:oMath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m</m:t>
                    </m:r>
                  </m:e>
                </m:acc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sa matrice conjuguée. On dit qu'une partie </w:t>
      </w:r>
      <m:oMath>
        <m:r>
          <m:rPr>
            <m:sty m:val="i"/>
          </m:rPr>
          <m:t>E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stable par conjugaison complexe si pour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la matrice conjuguée </w:t>
      </w:r>
      <m:oMath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</m:oMath>
      <w:r>
        <w:rPr>
          <w:rFonts w:eastAsia="Georgia" w:cs="Georgia" w:ascii="Georgia" w:hAnsi="Georgia"/>
        </w:rPr>
        <w:t xml:space="preserve"> est également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La transposée d'une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notée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. On munit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de sa topologie usuelle de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-espace vectoriel normé de dimension finie.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espaces vectoriels normés (sur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 ) de dimension finie, et </w:t>
      </w:r>
      <m:oMath>
        <m:r>
          <m:rPr>
            <m:sty m:val="i"/>
          </m:rPr>
          <m:t>A</m:t>
        </m:r>
      </m:oMath>
      <w:r>
        <w:rPr/>
        <w:t xml:space="preserve"> (respectivement </w:t>
      </w:r>
      <m:oMath>
        <m:r>
          <m:rPr>
            <m:sty m:val="i"/>
          </m:rPr>
          <m:t>B</m:t>
        </m:r>
      </m:oMath>
      <w:r>
        <w:rPr/>
        <w:t xml:space="preserve"> ) une partie de </w:t>
      </w:r>
      <m:oMath>
        <m:r>
          <m:rPr>
            <m:sty m:val="i"/>
          </m:rPr>
          <m:t>X</m:t>
        </m:r>
      </m:oMath>
      <w:r>
        <w:rPr/>
        <w:t xml:space="preserve"> (respectivement </w:t>
      </w:r>
      <m:oMath>
        <m:r>
          <m:rPr>
            <m:sty m:val="i"/>
          </m:rPr>
          <m:t>Y</m:t>
        </m:r>
      </m:oMath>
      <w:r>
        <w:rPr/>
        <w:t xml:space="preserve"> ). On rappelle qu'une application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i"/>
          </m:rPr>
          <m:t>A</m:t>
        </m:r>
        <m:r>
          <m:rPr>
            <m:sty m:val="p"/>
          </m:rPr>
          <m:t>→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un homéomorphisme si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application continue, bijective, dont l'application réciproque est continue.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Sauf mention contraire, les lois de groupe seront notées multiplicativement (le produit de deux éléments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étant noté </w:t>
      </w:r>
      <m:oMath>
        <m:r>
          <m:rPr>
            <m:sty m:val="i"/>
          </m:rPr>
          <m:t>a</m:t>
        </m:r>
        <m:r>
          <m:rPr>
            <m:sty m:val="p"/>
          </m:rPr>
          <m:t>.</m:t>
        </m:r>
        <m:r>
          <m:rPr>
            <m:sty m:val="i"/>
          </m:rPr>
          <m:t>b</m:t>
        </m:r>
      </m:oMath>
      <w:r>
        <w:rPr/>
        <w:t xml:space="preserve"> ou simplement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); on désignera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(ou simplement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si cela ne prête pas à confusion) l'élément neutre d'un groupe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E</m:t>
        </m:r>
      </m:oMath>
      <w:r>
        <w:rPr/>
        <w:t xml:space="preserve"> est un ensemble et </w:t>
      </w:r>
      <m:oMath>
        <m:r>
          <m:rPr>
            <m:sty m:val="i"/>
          </m:rPr>
          <m:t>K</m:t>
        </m:r>
      </m:oMath>
      <w:r>
        <w:rPr/>
        <w:t xml:space="preserve"> un sous-corps de </w:t>
      </w:r>
      <m:oMath>
        <m:r>
          <m:rPr>
            <m:scr m:val="double-struck"/>
          </m:rPr>
          <m:t>C</m:t>
        </m:r>
      </m:oMath>
      <w:r>
        <w:rPr/>
        <w:t xml:space="preserve">, on note </w:t>
      </w:r>
      <m:oMath>
        <m:r>
          <m:rPr>
            <m:scr m:val="script"/>
          </m:rPr>
          <m:t>F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ty m:val="i"/>
          </m:rPr>
          <m:t>K</m:t>
        </m:r>
      </m:oMath>
      <w:r>
        <w:rPr/>
        <w:t xml:space="preserve">-espace vectoriel des applications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Enfin, on rappelle le résultat suivant, que l'on pourra utiliser sans démonstration :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une famille d'endomorphismes diagonalisables d'un </w:t>
      </w:r>
      <m:oMath>
        <m:r>
          <m:rPr>
            <m:scr m:val="double-struck"/>
          </m:rPr>
          <m:t>C</m:t>
        </m:r>
      </m:oMath>
      <w:r>
        <w:rPr/>
        <w:t xml:space="preserve">-espace vectoriel de dimension finie, telle que </w:t>
      </w:r>
      <m:oMath>
        <m:r>
          <m:rPr>
            <m:sty m:val="i"/>
          </m:rPr>
          <m:t>u</m:t>
        </m:r>
        <m:r>
          <m:rPr>
            <m:sty m:val="p"/>
          </m:rPr>
          <m:t>∘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∘</m:t>
        </m:r>
        <m:r>
          <m:rPr>
            <m:sty m:val="i"/>
          </m:rPr>
          <m:t>u</m:t>
        </m:r>
      </m:oMath>
      <w:r>
        <w:rPr/>
        <w:t xml:space="preserve"> pour tous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Alors il existe une base de diagonalisation commune à tous les éléments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I: Actions de groupes</w:t>
      </w:r>
    </w:p>
    <w:p>
      <w:pPr>
        <w:spacing w:after="220" w:lineRule="auto"/>
      </w:pPr>
      <w:r>
        <w:rPr/>
        <w:t xml:space="preserve">Pour tout groupe </w:t>
      </w:r>
      <m:oMath>
        <m:r>
          <m:rPr>
            <m:sty m:val="i"/>
          </m:rPr>
          <m:t>G</m:t>
        </m:r>
      </m:oMath>
      <w:r>
        <w:rPr/>
        <w:t xml:space="preserve">, on note Aut </w:t>
      </w:r>
      <m:oMath>
        <m:r>
          <m:rPr>
            <m:sty m:val="i"/>
          </m:rPr>
          <m:t>G</m:t>
        </m:r>
      </m:oMath>
      <w:r>
        <w:rPr/>
        <w:t xml:space="preserve"> l'ensemble des automorphismes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c'est-à-dire des morphismes de groupe bijectifs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dans lui-même.</w:t>
      </w:r>
      <w:r>
        <w:rPr/>
        <w:br w:type="textWrapping"/>
      </w:r>
      <w:r>
        <w:rPr/>
        <w:t xml:space="preserve">I.1. Montrer que Aut </w:t>
      </w:r>
      <m:oMath>
        <m:r>
          <m:rPr>
            <m:sty m:val="i"/>
          </m:rPr>
          <m:t>G</m:t>
        </m:r>
      </m:oMath>
      <w:r>
        <w:rPr/>
        <w:t xml:space="preserve"> est un groupe pour la composition </w:t>
      </w:r>
      <m:oMath>
        <m:r>
          <m:rPr>
            <m:sty m:val="p"/>
          </m:rPr>
          <m:t>∘</m:t>
        </m:r>
      </m:oMath>
      <w:r>
        <w:rPr/>
        <w:t xml:space="preserve"> des applications.</w:t>
      </w:r>
    </w:p>
    <w:p>
      <w:pPr>
        <w:spacing w:after="220" w:lineRule="auto"/>
      </w:pPr>
      <w:r>
        <w:rPr/>
        <w:t xml:space="preserve">Une action d'un groupe </w:t>
      </w:r>
      <m:oMath>
        <m:r>
          <m:rPr>
            <m:sty m:val="p"/>
          </m:rPr>
          <m:t>Γ</m:t>
        </m:r>
      </m:oMath>
      <w:r>
        <w:rPr/>
        <w:t xml:space="preserve"> sur un groupe </w:t>
      </w:r>
      <m:oMath>
        <m:r>
          <m:rPr>
            <m:sty m:val="i"/>
          </m:rPr>
          <m:t>G</m:t>
        </m:r>
      </m:oMath>
      <w:r>
        <w:rPr/>
        <w:t xml:space="preserve"> est un morphisme de groupes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ty m:val="p"/>
          </m:rPr>
          <m:t>Γ</m:t>
        </m:r>
        <m:r>
          <m:rPr>
            <m:sty m:val="p"/>
          </m:rPr>
          <m:t>→</m:t>
        </m:r>
        <m:r>
          <m:rPr>
            <m:sty m:val="p"/>
          </m:rPr>
          <m:t>(</m:t>
        </m:r>
      </m:oMath>
      <w:r>
        <w:rPr/>
        <w:t xml:space="preserve"> Aut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p"/>
          </m:rPr>
          <m:t>∘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attire en particulier l'attention des candidats sur le fait que dans cette définition, on impose que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élément </w:t>
      </w:r>
      <m:oMath>
        <m:r>
          <m:rPr>
            <m:sty m:val="i"/>
          </m:rPr>
          <m:t>γ</m:t>
        </m:r>
      </m:oMath>
      <w:r>
        <w:rPr/>
        <w:t xml:space="preserve"> de </w:t>
      </w:r>
      <m:oMath>
        <m:r>
          <m:rPr>
            <m:sty m:val="p"/>
          </m:rPr>
          <m:t>Γ</m:t>
        </m:r>
      </m:oMath>
      <w:r>
        <w:rPr/>
        <w:t xml:space="preserve">, son image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/>
        <w:t xml:space="preserve"> soit un automorphisme du groupe </w:t>
      </w:r>
      <m:oMath>
        <m:r>
          <m:rPr>
            <m:sty m:val="i"/>
          </m:rPr>
          <m:t>G</m:t>
        </m:r>
      </m:oMath>
      <w:r>
        <w:rPr/>
        <w:t xml:space="preserve">, et pas seulement une bijection de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γ</m:t>
        </m:r>
        <m:r>
          <m:rPr>
            <m:sty m:val="p"/>
          </m:rPr>
          <m:t>∈</m:t>
        </m:r>
        <m:r>
          <m:rPr>
            <m:sty m:val="p"/>
          </m:rPr>
          <m:t>Γ</m:t>
        </m:r>
      </m:oMath>
      <w:r>
        <w:rPr/>
        <w:t xml:space="preserve"> et tout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, on notera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γ</m:t>
            </m:r>
          </m:sup>
        </m:sSup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l'élément </w:t>
      </w:r>
      <m:oMath>
        <m:r>
          <m:rPr>
            <m:sty m:val="p"/>
          </m:rPr>
          <m:t>[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]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 (l'action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étant sousentendue). On note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Γ</m:t>
            </m:r>
          </m:sup>
        </m:sSup>
      </m:oMath>
      <w:r>
        <w:rPr>
          <w:rFonts w:eastAsia="Georgia" w:cs="Georgia" w:ascii="Georgia" w:hAnsi="Georgia"/>
        </w:rPr>
        <w:t xml:space="preserve"> l'ensemble des éléments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qui vérifient l'égalité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γ</m:t>
            </m:r>
          </m:sup>
        </m:sSup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 pour tout </w:t>
      </w:r>
      <m:oMath>
        <m:r>
          <m:rPr>
            <m:sty m:val="i"/>
          </m:rPr>
          <m:t>γ</m:t>
        </m:r>
        <m:r>
          <m:rPr>
            <m:sty m:val="p"/>
          </m:rPr>
          <m:t>∈</m:t>
        </m:r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/>
        <w:t xml:space="preserve">I.2. Soit </w:t>
      </w:r>
      <m:oMath>
        <m:r>
          <m:rPr>
            <m:sty m:val="p"/>
          </m:rPr>
          <m:t>Φ</m:t>
        </m:r>
      </m:oMath>
      <w:r>
        <w:rPr/>
        <w:t xml:space="preserve"> une action d'un groupe </w:t>
      </w:r>
      <m:oMath>
        <m:r>
          <m:rPr>
            <m:sty m:val="p"/>
          </m:rPr>
          <m:t>Γ</m:t>
        </m:r>
      </m:oMath>
      <w:r>
        <w:rPr/>
        <w:t xml:space="preserve"> sur un groupe </w:t>
      </w:r>
      <m:oMath>
        <m:r>
          <m:rPr>
            <m:sty m:val="i"/>
          </m:rPr>
          <m:t>G</m:t>
        </m:r>
      </m:oMath>
      <w:r>
        <w:rPr/>
        <w:t xml:space="preserve">. Soient </w:t>
      </w:r>
      <m:oMath>
        <m:r>
          <m:rPr>
            <m:sty m:val="i"/>
          </m:rPr>
          <m:t>γ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des éléments de </w:t>
      </w:r>
      <m:oMath>
        <m:r>
          <m:rPr>
            <m:sty m:val="p"/>
          </m:rPr>
          <m:t>Γ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des éléments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Comparer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γ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γ</m:t>
            </m:r>
          </m:sup>
        </m:sSup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⋅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γ</m:t>
            </m:r>
          </m:sup>
        </m:sSup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; même question pour </w:t>
      </w:r>
      <m:oMath>
        <m:sSup>
          <m:sSupPr/>
          <m:e>
            <m:r>
              <m:t xml:space="preserve"> </m:t>
            </m:r>
          </m:e>
          <m: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γ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γ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sup>
        </m:sSup>
        <m:r>
          <m:rPr>
            <m:sty m:val="i"/>
          </m:rPr>
          <m:t>g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sSub>
                  <m:sSubPr/>
                  <m:e>
                    <m:r>
                      <m:rPr>
                        <m:sty m:val="i"/>
                      </m:rPr>
                      <m:t>γ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sup>
            </m:sSup>
            <m:r>
              <m:rPr>
                <m:sty m:val="i"/>
              </m:rPr>
              <m:t>g</m:t>
            </m:r>
          </m:e>
        </m:d>
      </m:oMath>
      <w:r>
        <w:rPr>
          <w:rFonts w:eastAsia="Georgia" w:cs="Georgia" w:ascii="Georgia" w:hAnsi="Georgia"/>
        </w:rPr>
        <w:t xml:space="preserve">. Déterminer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e</m:t>
            </m:r>
          </m:sup>
        </m:sSup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(où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Γ</m:t>
            </m:r>
          </m:sub>
        </m:sSub>
      </m:oMath>
      <w:r>
        <w:rPr/>
        <w:t xml:space="preserve"> )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γ</m:t>
            </m:r>
          </m:sup>
        </m:sSup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(où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). A-t-on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γ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γ</m:t>
                    </m:r>
                  </m:sup>
                </m:sSup>
                <m:r>
                  <m:rPr>
                    <m:sty m:val="i"/>
                  </m:rPr>
                  <m:t>g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?</w:t>
      </w:r>
      <w:r>
        <w:rPr/>
        <w:br w:type="textWrapping"/>
      </w:r>
      <w:r>
        <w:rPr/>
        <w:t xml:space="preserve">I.3. Soient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le groupe multiplicatif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un sous-groupe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qui est stable par conjugaison complexe. Montrer que l'application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→</m:t>
        </m:r>
      </m:oMath>
      <w:r>
        <w:rPr/>
        <w:t xml:space="preserve"> Aut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[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]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p"/>
          </m:rPr>
          <m:t>[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]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(pour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 ) est une action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sur le groupe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On l'appellera action par conjugaison complexe. Déterminer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sSup>
          <m:sSupPr/>
          <m:e>
            <m:r>
              <m:rPr>
                <m:sty m:val="p"/>
              </m:rPr>
              <m:t>)</m:t>
            </m:r>
          </m:e>
          <m:sup>
            <m:sSub>
              <m:sSubPr/>
              <m:e>
                <m:r>
                  <m:rPr>
                    <m:sty m:val="p"/>
                  </m:rPr>
                  <m:t>Γ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p>
        </m:sSup>
      </m:oMath>
      <w:r>
        <w:rPr/>
        <w:t xml:space="preserve"> pour cette 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I.4. On suppose fixées des actions d'un groupe </w:t>
      </w:r>
      <m:oMath>
        <m:r>
          <m:rPr>
            <m:sty m:val="p"/>
          </m:rPr>
          <m:t>Γ</m:t>
        </m:r>
      </m:oMath>
      <w:r>
        <w:rPr/>
        <w:t xml:space="preserve"> sur des groupes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. On dit alors qu'une application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ty m:val="i"/>
          </m:rPr>
          <m:t>G</m:t>
        </m:r>
        <m:r>
          <m:rPr>
            <m:sty m:val="p"/>
          </m:rPr>
          <m:t>→</m:t>
        </m:r>
        <m:r>
          <m:rPr>
            <m:sty m:val="i"/>
          </m:rPr>
          <m:t>H</m:t>
        </m:r>
      </m:oMath>
      <w:r>
        <w:rPr/>
        <w:t xml:space="preserve"> est un </w:t>
      </w:r>
      <m:oMath>
        <m:r>
          <m:rPr>
            <m:sty m:val="p"/>
          </m:rPr>
          <m:t>Γ</m:t>
        </m:r>
      </m:oMath>
      <w:r>
        <w:rPr/>
        <w:t xml:space="preserve">-morphisme 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 morphisme de groupes qui satisfait de plus à la condition :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γ</m:t>
                </m:r>
              </m:sup>
            </m:sSup>
            <m:r>
              <m:rPr>
                <m:sty m:val="i"/>
              </m:rPr>
              <m:t>g</m:t>
            </m:r>
          </m:e>
        </m:d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γ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pour tous </w:t>
      </w:r>
      <m:oMath>
        <m:r>
          <m:rPr>
            <m:sty m:val="i"/>
          </m:rPr>
          <m:t>γ</m:t>
        </m:r>
        <m:r>
          <m:rPr>
            <m:sty m:val="p"/>
          </m:rPr>
          <m:t>∈</m:t>
        </m:r>
        <m:r>
          <m:rPr>
            <m:sty m:val="p"/>
          </m:rPr>
          <m:t>Γ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ty m:val="i"/>
          </m:rPr>
          <m:t>G</m:t>
        </m:r>
        <m:r>
          <m:rPr>
            <m:sty m:val="p"/>
          </m:rPr>
          <m:t>→</m:t>
        </m:r>
        <m:r>
          <m:rPr>
            <m:sty m:val="i"/>
          </m:rPr>
          <m:t>H</m:t>
        </m:r>
      </m:oMath>
      <w:r>
        <w:rPr/>
        <w:t xml:space="preserve"> un </w:t>
      </w:r>
      <m:oMath>
        <m:r>
          <m:rPr>
            <m:sty m:val="p"/>
          </m:rPr>
          <m:t>Γ</m:t>
        </m:r>
      </m:oMath>
      <w:r>
        <w:rPr/>
        <w:t xml:space="preserve">-morphisme. Montrer que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p"/>
                  </m:rPr>
                  <m:t>Γ</m:t>
                </m:r>
              </m:sup>
            </m:sSup>
          </m:e>
        </m:d>
        <m:r>
          <m:rPr>
            <m:sty m:val="p"/>
          </m:rPr>
          <m:t>⊂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Γ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On suppose de plus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surjectif. A-t-on nécessairement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p"/>
                  </m:rPr>
                  <m:t>Γ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Γ</m:t>
            </m:r>
          </m:sup>
        </m:sSup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Partie II : Sous-groupes matriciels</w:t>
      </w:r>
    </w:p>
    <w:p>
      <w:pPr>
        <w:spacing w:after="220" w:lineRule="auto"/>
      </w:pPr>
      <w:r>
        <w:rPr/>
        <w:t xml:space="preserve">II.1. Soit </w:t>
      </w:r>
      <m:oMath>
        <m:r>
          <m:rPr>
            <m:sty m:val="i"/>
          </m:rPr>
          <m:t>G</m:t>
        </m:r>
      </m:oMath>
      <w:r>
        <w:rPr/>
        <w:t xml:space="preserve"> un sous-groupe commutatif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tel que tout élément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vérifie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que </w:t>
      </w:r>
      <m:oMath>
        <m:r>
          <m:rPr>
            <m:sty m:val="i"/>
          </m:rPr>
          <m:t>G</m:t>
        </m:r>
      </m:oMath>
      <w:r>
        <w:rPr/>
        <w:t xml:space="preserve"> est fini, et majorer son cardinal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II.2. Soient </w:t>
      </w:r>
      <m:oMath>
        <m:r>
          <m:rPr>
            <m:sty m:val="i"/>
          </m:rPr>
          <m:t>A</m:t>
        </m:r>
      </m:oMath>
      <w:r>
        <w:rPr/>
        <w:t xml:space="preserve"> une partie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un ouvert de </w:t>
      </w:r>
      <m:oMath>
        <m:r>
          <m:rPr>
            <m:sty m:val="i"/>
          </m:rPr>
          <m:t>A</m:t>
        </m:r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U</m:t>
        </m:r>
      </m:oMath>
      <w:r>
        <w:rPr/>
        <w:t xml:space="preserve">, tels que pour tout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U</m:t>
        </m:r>
        <m:r>
          <m:rPr>
            <m:sty m:val="p"/>
          </m:rPr>
          <m:t>×</m:t>
        </m:r>
        <m:r>
          <m:rPr>
            <m:sty m:val="i"/>
          </m:rPr>
          <m:t>U</m:t>
        </m:r>
      </m:oMath>
      <w:r>
        <w:rPr/>
        <w:t xml:space="preserve">, on ait </w:t>
      </w:r>
      <m:oMath>
        <m:r>
          <m:rPr>
            <m:sty m:val="i"/>
          </m:rPr>
          <m:t>M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On suppose qu'il existe un homéomorphisme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i"/>
          </m:rPr>
          <m:t>A</m:t>
        </m:r>
        <m:r>
          <m:rPr>
            <m:sty m:val="p"/>
          </m:rPr>
          <m:t>→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V</m:t>
        </m:r>
      </m:oMath>
      <w:r>
        <w:rPr/>
        <w:t xml:space="preserve"> est un ouvert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et on pose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fait enfin l'hypothèse que l'application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f</m:t>
          </m:r>
          <m:r>
            <m:rPr>
              <m:sty m:val="p"/>
            </m:rPr>
            <m:t>: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×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→</m:t>
          </m:r>
          <m:r>
            <m:rPr>
              <m:sty m:val="i"/>
            </m:rPr>
            <m:t>V</m:t>
          </m:r>
        </m:oMath>
      </m:oMathPara>
      <w:r>
        <w:rPr/>
        <w:br w:type="textWrapping"/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φ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⋅</m:t>
            </m:r>
            <m:sSup>
              <m:sSupPr/>
              <m:e>
                <m:r>
                  <m:rPr>
                    <m:sty m:val="i"/>
                  </m:rPr>
                  <m:t>φ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Montrer que l'image de l'application de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qui à </w:t>
      </w:r>
      <m:oMath>
        <m:r>
          <m:rPr>
            <m:sty m:val="i"/>
          </m:rPr>
          <m:t>M</m:t>
        </m:r>
      </m:oMath>
      <w:r>
        <w:rPr/>
        <w:t xml:space="preserve"> associe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est un voisinage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II.3. On dira qu'un sous-groupe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la condition ( </w:t>
      </w:r>
      <m:oMath>
        <m:r>
          <m:rPr>
            <m:sty m:val="i"/>
          </m:rPr>
          <m:t>L</m:t>
        </m:r>
      </m:oMath>
      <w:r>
        <w:rPr/>
        <w:t xml:space="preserve"> ) s'il existe des parties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satisfaisant aux hypothèses de II.2., avec en outre </w:t>
      </w:r>
      <m:oMath>
        <m:r>
          <m:rPr>
            <m:sty m:val="i"/>
          </m:rPr>
          <m:t>A</m:t>
        </m:r>
      </m:oMath>
      <w:r>
        <w:rPr/>
        <w:t xml:space="preserve"> partie ouverte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le groupe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la condition (L) (on pourra par exemple utiliser le développement du déterminant par rapport à une colonne).</w:t>
      </w:r>
      <w:r>
        <w:rPr/>
        <w:br w:type="textWrapping"/>
      </w:r>
      <w:r>
        <w:rPr/>
        <w:t xml:space="preserve">b) On suppose que </w:t>
      </w:r>
      <m:oMath>
        <m:r>
          <m:rPr>
            <m:sty m:val="i"/>
          </m:rPr>
          <m:t>G</m:t>
        </m:r>
      </m:oMath>
      <w:r>
        <w:rPr/>
        <w:t xml:space="preserve"> est un sous-groupe commutatif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vérifie (L). Montrer que l'image </w:t>
      </w:r>
      <m:oMath>
        <m:r>
          <m:rPr>
            <m:sty m:val="i"/>
          </m:rPr>
          <m:t>J</m:t>
        </m:r>
      </m:oMath>
      <w:r>
        <w:rPr/>
        <w:t xml:space="preserve"> de l'application de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qui à </w:t>
      </w:r>
      <m:oMath>
        <m:r>
          <m:rPr>
            <m:sty m:val="i"/>
          </m:rPr>
          <m:t>M</m:t>
        </m:r>
      </m:oMath>
      <w:r>
        <w:rPr/>
        <w:t xml:space="preserve"> associe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est un ouvert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En considérant les ensembles de la forme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.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J</m:t>
            </m:r>
          </m:e>
        </m:d>
      </m:oMath>
      <w:r>
        <w:rPr/>
        <w:t xml:space="preserve"> pour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, montrer que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est également un fermé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 : Construction de matrices inversibles</w:t>
      </w:r>
    </w:p>
    <w:p>
      <w:pPr>
        <w:spacing w:after="220" w:lineRule="auto"/>
      </w:pPr>
      <w:r>
        <w:rPr/>
        <w:t xml:space="preserve">III.1. a)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Montrer qu'il existe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+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λ</m:t>
                </m:r>
              </m:e>
            </m:acc>
            <m:r>
              <m:rPr>
                <m:sty m:val="i"/>
              </m:rPr>
              <m:t>A</m:t>
            </m:r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M</m:t>
        </m:r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qu'il existe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B</m:t>
        </m:r>
        <m:sSup>
          <m:sSup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de cette partie III, on désigne par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/>
        <w:t xml:space="preserve"> deux sous-corps de </w:t>
      </w:r>
      <m:oMath>
        <m:r>
          <m:rPr>
            <m:scr m:val="double-struck"/>
          </m:rPr>
          <m:t>C</m:t>
        </m:r>
      </m:oMath>
      <w:r>
        <w:rPr/>
        <w:t xml:space="preserve"> avec </w:t>
      </w:r>
      <m:oMath>
        <m:r>
          <m:rPr>
            <m:sty m:val="i"/>
          </m:rPr>
          <m:t>K</m:t>
        </m:r>
        <m:r>
          <m:rPr>
            <m:sty m:val="p"/>
          </m:rPr>
          <m:t>⊂</m:t>
        </m:r>
        <m:r>
          <m:rPr>
            <m:sty m:val="i"/>
          </m:rPr>
          <m:t>L</m:t>
        </m:r>
      </m:oMath>
      <w:r>
        <w:rPr/>
        <w:t xml:space="preserve">. On suppose que le </w:t>
      </w:r>
      <m:oMath>
        <m:r>
          <m:rPr>
            <m:sty m:val="i"/>
          </m:rPr>
          <m:t>K</m:t>
        </m:r>
      </m:oMath>
      <w:r>
        <w:rPr/>
        <w:t xml:space="preserve">-espace vectoriel </w:t>
      </w:r>
      <m:oMath>
        <m:r>
          <m:rPr>
            <m:sty m:val="i"/>
          </m:rPr>
          <m:t>L</m:t>
        </m:r>
      </m:oMath>
      <w:r>
        <w:rPr/>
        <w:t xml:space="preserve"> est de dimension finie et on note </w:t>
      </w:r>
      <m:oMath>
        <m:r>
          <m:rPr>
            <m:sty m:val="p"/>
          </m:rPr>
          <m:t>Γ</m:t>
        </m:r>
      </m:oMath>
      <w:r>
        <w:rPr/>
        <w:t xml:space="preserve"> l'ensemble des isomorphismes de corps </w:t>
      </w:r>
      <m:oMath>
        <m:r>
          <m:rPr>
            <m:sty m:val="i"/>
          </m:rPr>
          <m:t>γ</m:t>
        </m:r>
      </m:oMath>
      <w:r>
        <w:rPr/>
        <w:t xml:space="preserve"> de </w:t>
      </w:r>
      <m:oMath>
        <m:r>
          <m:rPr>
            <m:sty m:val="i"/>
          </m:rPr>
          <m:t>L</m:t>
        </m:r>
      </m:oMath>
      <w:r>
        <w:rPr/>
        <w:t xml:space="preserve"> dans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qui satisfont en outre l'égalité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III.2 a) Montrer que 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cr m:val="double-struck"/>
          </m:rPr>
          <m:t>C</m:t>
        </m:r>
      </m:oMath>
      <w:r>
        <w:rPr/>
        <w:t xml:space="preserve">, alors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constitué de l'identité et de la conjugaison </w:t>
      </w:r>
      <m:oMath>
        <m:r>
          <m:rPr>
            <m:sty m:val="i"/>
          </m:rPr>
          <m:t>z</m:t>
        </m:r>
        <m:r>
          <m:rPr>
            <m:sty m:val="p"/>
          </m:rPr>
          <m:t>↦</m:t>
        </m:r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revient au cas général et on prend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. Montrer qu'il existe un polynôme non nul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 pour tout </w:t>
      </w:r>
      <m:oMath>
        <m:r>
          <m:rPr>
            <m:sty m:val="i"/>
          </m:rPr>
          <m:t>γ</m:t>
        </m:r>
        <m:r>
          <m:rPr>
            <m:sty m:val="p"/>
          </m:rPr>
          <m:t>∈</m:t>
        </m:r>
        <m:r>
          <m:rPr>
            <m:sty m:val="p"/>
          </m:rPr>
          <m:t>Γ</m:t>
        </m:r>
      </m:oMath>
      <w:r>
        <w:rPr/>
        <w:t xml:space="preserve">, le nombre complexe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également racine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p"/>
          </m:rPr>
          <m:t>Γ</m:t>
        </m:r>
      </m:oMath>
      <w:r>
        <w:rPr/>
        <w:t xml:space="preserve"> est fini.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vérifie facilement (et on admettra dans la suite) que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un groupe pour la composition des applications, dont on notera désormais la loi multiplicativement.</w:t>
      </w:r>
      <w:r>
        <w:rPr/>
        <w:br w:type="textWrapping"/>
      </w:r>
      <w:r>
        <w:rPr/>
        <w:t xml:space="preserve">III.3. Soient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des morphismes de groupes deux à deux distincts du groupe multiplicatif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dans lui-même. Montrer que la famille (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) est libre dans le </w:t>
      </w:r>
      <m:oMath>
        <m:r>
          <m:rPr>
            <m:sty m:val="i"/>
          </m:rPr>
          <m:t>L</m:t>
        </m:r>
      </m:oMath>
      <w:r>
        <w:rPr/>
        <w:t xml:space="preserve">-espace vectoriel </w:t>
      </w:r>
      <m:oMath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L</m:t>
            </m:r>
          </m:e>
        </m:d>
      </m:oMath>
      <w:r>
        <w:rPr>
          <w:rFonts w:eastAsia="Georgia" w:cs="Georgia" w:ascii="Georgia" w:hAnsi="Georgia"/>
        </w:rPr>
        <w:t xml:space="preserve"> (on pourra procéder par récurrence sur </w:t>
      </w:r>
      <m:oMath>
        <m:r>
          <m:rPr>
            <m:sty m:val="i"/>
          </m:rPr>
          <m:t>r</m:t>
        </m:r>
      </m:oMath>
      <w:r>
        <w:rPr/>
        <w:t xml:space="preserve"> ).</w:t>
      </w:r>
      <w:r>
        <w:rPr/>
        <w:br w:type="textWrapping"/>
      </w:r>
      <w:r>
        <w:rPr/>
        <w:t xml:space="preserve">III.4. Soit </w:t>
      </w:r>
      <m:oMath>
        <m:r>
          <m:rPr>
            <m:sty m:val="i"/>
          </m:rPr>
          <m:t>f</m:t>
        </m:r>
      </m:oMath>
      <w:r>
        <w:rPr/>
        <w:t xml:space="preserve"> une application de </w:t>
      </w:r>
      <m:oMath>
        <m:r>
          <m:rPr>
            <m:sty m:val="p"/>
          </m:rPr>
          <m:t>Γ</m:t>
        </m:r>
      </m:oMath>
      <w:r>
        <w:rPr/>
        <w:t xml:space="preserve"> dans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. Pour toute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, on pose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γ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</m:d>
      </m:oMath>
      <w:r>
        <w:rPr/>
        <w:t xml:space="preserve"> pour tout </w:t>
      </w:r>
      <m:oMath>
        <m:r>
          <m:rPr>
            <m:sty m:val="i"/>
          </m:rPr>
          <m:t>γ</m:t>
        </m:r>
      </m:oMath>
      <w:r>
        <w:rPr/>
        <w:t xml:space="preserve"> de </w:t>
      </w:r>
      <m:oMath>
        <m:r>
          <m:rPr>
            <m:sty m:val="p"/>
          </m:rPr>
          <m:t>Γ</m:t>
        </m:r>
      </m:oMath>
      <w:r>
        <w:rPr/>
        <w:t xml:space="preserve">. Si </w:t>
      </w:r>
      <m:oMath>
        <m:r>
          <m:rPr>
            <m:sty m:val="i"/>
          </m:rPr>
          <m:t>M</m:t>
        </m:r>
      </m:oMath>
      <w:r>
        <w:rPr/>
        <w:t xml:space="preserve"> est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, on appelle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la matrice </w:t>
      </w:r>
      <m:oMath>
        <m:sSub>
          <m:sSub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γ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Γ</m:t>
            </m:r>
          </m:sub>
        </m:sSub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De même, pour tout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pose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γ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Γ</m:t>
            </m:r>
          </m:sub>
        </m:sSub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(c'est un vecteur de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).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une forme linéaire sur le </w:t>
      </w:r>
      <m:oMath>
        <m:r>
          <m:rPr>
            <m:sty m:val="i"/>
          </m:rPr>
          <m:t>L</m:t>
        </m:r>
      </m:oMath>
      <w:r>
        <w:rPr/>
        <w:t xml:space="preserve">-espace vectoriel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est nulle (on pourra considérer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h</m:t>
        </m:r>
      </m:oMath>
      <w:r>
        <w:rPr/>
        <w:t xml:space="preserve"> dans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utiliser III.3.).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famille </w:t>
      </w:r>
      <m:oMath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b>
        </m:sSub>
      </m:oMath>
      <w:r>
        <w:rPr/>
        <w:t xml:space="preserve"> engendre le </w:t>
      </w:r>
      <m:oMath>
        <m:r>
          <m:rPr>
            <m:sty m:val="i"/>
          </m:rPr>
          <m:t>L</m:t>
        </m:r>
      </m:oMath>
      <w:r>
        <w:rPr/>
        <w:t xml:space="preserve">-espace vectoriel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en extrait une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b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M</m:t>
        </m:r>
      </m:oMath>
      <w:r>
        <w:rPr/>
        <w:t xml:space="preserve"> la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 dont 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vecteur colonne est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Montrer que la matrice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est inversible.</w:t>
      </w:r>
    </w:p>
    <w:p>
      <w:pPr>
        <w:spacing w:line="271" w:before="330" w:lineRule="auto"/>
      </w:pPr>
      <w:r>
        <w:rPr>
          <w:b/>
          <w:sz w:val="42"/>
        </w:rPr>
        <w:t xml:space="preserve">Partie IV : Cocycles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Φ</m:t>
        </m:r>
      </m:oMath>
      <w:r>
        <w:rPr/>
        <w:t xml:space="preserve"> une action d'un groupe </w:t>
      </w:r>
      <m:oMath>
        <m:r>
          <m:rPr>
            <m:sty m:val="p"/>
          </m:rPr>
          <m:t>Γ</m:t>
        </m:r>
      </m:oMath>
      <w:r>
        <w:rPr/>
        <w:t xml:space="preserve"> sur un groupe </w:t>
      </w:r>
      <m:oMath>
        <m:r>
          <m:rPr>
            <m:sty m:val="i"/>
          </m:rPr>
          <m:t>G</m:t>
        </m:r>
      </m:oMath>
      <w:r>
        <w:rPr/>
        <w:t xml:space="preserve"> (voir la partie I). On appelle cocycle une 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Γ</m:t>
        </m:r>
        <m:r>
          <m:rPr>
            <m:sty m:val="p"/>
          </m:rPr>
          <m:t>→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qui vérifie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γ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γ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γ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⋅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sSub>
                    <m:sSubPr/>
                    <m:e>
                      <m:r>
                        <m:rPr>
                          <m:sty m:val="i"/>
                        </m:rPr>
                        <m:t>γ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sup>
              </m:sSup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γ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pour tous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Γ</m:t>
        </m:r>
      </m:oMath>
      <w:r>
        <w:rPr/>
        <w:t xml:space="preserve">. On note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l'ensemble des cocycles.</w:t>
      </w:r>
      <w:r>
        <w:rPr/>
        <w:br w:type="textWrapping"/>
      </w:r>
      <w:r>
        <w:rPr>
          <w:rFonts w:eastAsia="Georgia" w:cs="Georgia" w:ascii="Georgia" w:hAnsi="Georgia"/>
        </w:rPr>
        <w:t xml:space="preserve">IV.1. On définit une relation </w:t>
      </w:r>
      <m:oMath>
        <m:r>
          <m:rPr>
            <m:sty m:val="p"/>
          </m:rPr>
          <m:t>∼</m:t>
        </m:r>
        <m:r>
          <m:rPr>
            <m:sty m:val="p"/>
          </m:rPr>
          <m:t>sur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par : </w:t>
      </w:r>
      <m:oMath>
        <m:r>
          <m:rPr>
            <m:sty m:val="i"/>
          </m:rPr>
          <m:t>f</m:t>
        </m:r>
        <m:r>
          <m:rPr>
            <m:sty m:val="p"/>
          </m:rPr>
          <m:t>∼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si et seulement s'il existe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⋅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⋅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γ</m:t>
            </m:r>
          </m:sup>
        </m:sSup>
        <m:r>
          <m:rPr>
            <m:sty m:val="i"/>
          </m:rPr>
          <m:t>b</m:t>
        </m:r>
      </m:oMath>
      <w:r>
        <w:rPr/>
        <w:t xml:space="preserve"> pour tout </w:t>
      </w:r>
      <m:oMath>
        <m:r>
          <m:rPr>
            <m:sty m:val="i"/>
          </m:rPr>
          <m:t>γ</m:t>
        </m:r>
        <m:r>
          <m:rPr>
            <m:sty m:val="p"/>
          </m:rPr>
          <m:t>∈</m:t>
        </m:r>
        <m:r>
          <m:rPr>
            <m:sty m:val="p"/>
          </m:rPr>
          <m:t>Γ</m:t>
        </m:r>
      </m:oMath>
      <w:r>
        <w:rPr/>
        <w:t xml:space="preserve">. Montrer que </w:t>
      </w:r>
      <m:oMath>
        <m:r>
          <m:rPr>
            <m:sty m:val="p"/>
          </m:rPr>
          <m:t>∼</m:t>
        </m:r>
      </m:oMath>
      <w:r>
        <w:rPr>
          <w:rFonts w:eastAsia="Georgia" w:cs="Georgia" w:ascii="Georgia" w:hAnsi="Georgia"/>
        </w:rPr>
        <w:t xml:space="preserve"> est une relation d'équivalence.</w:t>
      </w:r>
    </w:p>
    <w:p>
      <w:pPr>
        <w:spacing w:after="220" w:lineRule="auto"/>
      </w:pPr>
      <w:r>
        <w:rPr/>
        <w:t xml:space="preserve">On notera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classes d'équivalence pour cette relation et </w:t>
      </w:r>
      <m:oMath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la classe d'un élément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note également 0 la classe du cocycle (dit trivial) qui envoie tout </w:t>
      </w:r>
      <m:oMath>
        <m:r>
          <m:rPr>
            <m:sty m:val="i"/>
          </m:rPr>
          <m:t>γ</m:t>
        </m:r>
      </m:oMath>
      <w:r>
        <w:rPr/>
        <w:t xml:space="preserve"> de </w:t>
      </w:r>
      <m:oMath>
        <m:r>
          <m:rPr>
            <m:sty m:val="p"/>
          </m:rPr>
          <m:t>Γ</m:t>
        </m:r>
        <m:r>
          <m:rPr>
            <m:sty m:val="p"/>
          </m:rPr>
          <m:t>sur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IV.2. On prend </w:t>
      </w:r>
      <m:oMath>
        <m:r>
          <m:rPr>
            <m:sty m:val="p"/>
          </m:rPr>
          <m:t>Γ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muni de l'action de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par conjugaison complexe (définie en I.3.). Montrer que </w:t>
      </w:r>
      <m:oMath>
        <m:r>
          <m:rPr>
            <m:scr m:val="script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Γ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GL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IV.3. Soient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/>
        <w:t xml:space="preserve"> deux sous-corps de </w:t>
      </w:r>
      <m:oMath>
        <m:r>
          <m:rPr>
            <m:scr m:val="double-struck"/>
          </m:rPr>
          <m:t>C</m:t>
        </m:r>
      </m:oMath>
      <w:r>
        <w:rPr/>
        <w:t xml:space="preserve"> avec </w:t>
      </w:r>
      <m:oMath>
        <m:r>
          <m:rPr>
            <m:sty m:val="i"/>
          </m:rPr>
          <m:t>K</m:t>
        </m:r>
        <m:r>
          <m:rPr>
            <m:sty m:val="p"/>
          </m:rPr>
          <m:t>⊂</m:t>
        </m:r>
        <m:r>
          <m:rPr>
            <m:sty m:val="i"/>
          </m:rPr>
          <m:t>L</m:t>
        </m:r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/>
        <w:t xml:space="preserve"> de dimension finie sur </w:t>
      </w:r>
      <m:oMath>
        <m:r>
          <m:rPr>
            <m:sty m:val="i"/>
          </m:rPr>
          <m:t>K</m:t>
        </m:r>
      </m:oMath>
      <w:r>
        <w:rPr/>
        <w:t xml:space="preserve">. On prend pour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le groupe défini en III.1.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une action de </w:t>
      </w:r>
      <m:oMath>
        <m:r>
          <m:rPr>
            <m:sty m:val="p"/>
          </m:rPr>
          <m:t>Γ</m:t>
        </m:r>
      </m:oMath>
      <w:r>
        <w:rPr/>
        <w:t xml:space="preserve"> sur le groupe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 par :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γ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γ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</m:d>
      </m:oMath>
      <w:r>
        <w:rPr/>
        <w:t xml:space="preserve"> pour toute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cr m:val="script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Γ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GL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(On pourra utiliser III.4. c)).</w:t>
      </w:r>
      <w:r>
        <w:rPr/>
        <w:br w:type="textWrapping"/>
      </w:r>
      <w:r>
        <w:rPr>
          <w:rFonts w:eastAsia="Georgia" w:cs="Georgia" w:ascii="Georgia" w:hAnsi="Georgia"/>
        </w:rPr>
        <w:t xml:space="preserve">b) Que devient le résultat précédent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cr m:val="double-struck"/>
          </m:rPr>
          <m:t>C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IV.4. On suppose fixées des actions d'un groupe </w:t>
      </w:r>
      <m:oMath>
        <m:r>
          <m:rPr>
            <m:sty m:val="p"/>
          </m:rPr>
          <m:t>Γ</m:t>
        </m:r>
      </m:oMath>
      <w:r>
        <w:rPr/>
        <w:t xml:space="preserve"> sur des groupes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. Soit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ty m:val="i"/>
          </m:rPr>
          <m:t>G</m:t>
        </m:r>
        <m:r>
          <m:rPr>
            <m:sty m:val="p"/>
          </m:rPr>
          <m:t>→</m:t>
        </m:r>
        <m:r>
          <m:rPr>
            <m:sty m:val="i"/>
          </m:rPr>
          <m:t>H</m:t>
        </m:r>
      </m:oMath>
      <w:r>
        <w:rPr/>
        <w:t xml:space="preserve"> un </w:t>
      </w:r>
      <m:oMath>
        <m:r>
          <m:rPr>
            <m:sty m:val="p"/>
          </m:rPr>
          <m:t>Γ</m:t>
        </m:r>
      </m:oMath>
      <w:r>
        <w:rPr/>
        <w:t xml:space="preserve">-morphisme (voir I.4.). A toute 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Γ</m:t>
        </m:r>
        <m:r>
          <m:rPr>
            <m:sty m:val="p"/>
          </m:rPr>
          <m:t>→</m:t>
        </m:r>
        <m:r>
          <m:rPr>
            <m:sty m:val="i"/>
          </m:rPr>
          <m:t>G</m:t>
        </m:r>
      </m:oMath>
      <w:r>
        <w:rPr/>
        <w:t xml:space="preserve">, on associe l'application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u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Γ</m:t>
        </m:r>
        <m:r>
          <m:rPr>
            <m:sty m:val="p"/>
          </m:rPr>
          <m:t>→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 par 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u</m:t>
                </m:r>
              </m:sup>
            </m:sSup>
            <m:r>
              <m:rPr>
                <m:sty m:val="i"/>
              </m:rPr>
              <m:t>f</m:t>
            </m:r>
          </m:e>
        </m:d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γ</m:t>
        </m:r>
      </m:oMath>
      <w:r>
        <w:rPr/>
        <w:t xml:space="preserve"> de </w:t>
      </w:r>
      <m:oMath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, alors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u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si </w:t>
      </w:r>
      <m:oMath>
        <m:r>
          <m:rPr>
            <m:sty m:val="i"/>
          </m:rPr>
          <m:t>f</m:t>
        </m:r>
        <m:r>
          <m:rPr>
            <m:sty m:val="p"/>
          </m:rPr>
          <m:t>∼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, alors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u</m:t>
            </m:r>
          </m:sup>
        </m:sSup>
        <m:r>
          <m:rPr>
            <m:sty m:val="i"/>
          </m:rPr>
          <m:t>f</m:t>
        </m:r>
        <m:sSup>
          <m:sSupPr/>
          <m:e>
            <m:r>
              <m:rPr>
                <m:sty m:val="p"/>
              </m:rPr>
              <m:t>∼</m:t>
            </m:r>
          </m:e>
          <m:sup>
            <m:r>
              <m:rPr>
                <m:sty m:val="i"/>
              </m:rPr>
              <m:t>u</m:t>
            </m:r>
          </m:sup>
        </m:sSup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Avec les notations de IV.1., on a donc une unique application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:</m:t>
        </m:r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vérifie :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u</m:t>
                </m:r>
              </m:sup>
            </m:sSup>
            <m:r>
              <m:rPr>
                <m:sty m:val="i"/>
              </m:rPr>
              <m:t>f</m:t>
            </m:r>
          </m:e>
        </m:d>
      </m:oMath>
      <w:r>
        <w:rPr/>
        <w:t xml:space="preserve">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. On appelle noyau de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, et on note ker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</m:oMath>
      <w:r>
        <w:rPr>
          <w:rFonts w:eastAsia="Georgia" w:cs="Georgia" w:ascii="Georgia" w:hAnsi="Georgia"/>
        </w:rPr>
        <w:t xml:space="preserve">, l'ensemble des éléments </w:t>
      </w:r>
      <m:oMath>
        <m:r>
          <m:rPr>
            <m:sty m:val="i"/>
          </m:rPr>
          <m:t>c</m:t>
        </m:r>
      </m:oMath>
      <w:r>
        <w:rPr/>
        <w:t xml:space="preserve"> de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tels que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IV.5. On suppose jusqu'à la fin de cette partie que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sont deux groupes munis chacun d'une action de </w:t>
      </w:r>
      <m:oMath>
        <m:r>
          <m:rPr>
            <m:sty m:val="p"/>
          </m:rPr>
          <m:t>Γ</m:t>
        </m:r>
      </m:oMath>
      <w:r>
        <w:rPr/>
        <w:t xml:space="preserve">, et on fixe un </w:t>
      </w:r>
      <m:oMath>
        <m:r>
          <m:rPr>
            <m:sty m:val="p"/>
          </m:rPr>
          <m:t>Γ</m:t>
        </m:r>
      </m:oMath>
      <w:r>
        <w:rPr/>
        <w:t xml:space="preserve">-morphisme surjectif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ty m:val="i"/>
          </m:rPr>
          <m:t>B</m:t>
        </m:r>
        <m:r>
          <m:rPr>
            <m:sty m:val="p"/>
          </m:rPr>
          <m:t>→</m:t>
        </m:r>
        <m:r>
          <m:rPr>
            <m:sty m:val="i"/>
          </m:rPr>
          <m:t>C</m:t>
        </m:r>
      </m:oMath>
      <w:r>
        <w:rPr/>
        <w:t xml:space="preserve">. On note </w:t>
      </w:r>
      <m:oMath>
        <m:r>
          <m:rPr>
            <m:sty m:val="i"/>
          </m:rPr>
          <m:t>A</m:t>
        </m:r>
      </m:oMath>
      <w:r>
        <w:rPr/>
        <w:t xml:space="preserve"> le noyau de </w:t>
      </w:r>
      <m:oMath>
        <m:r>
          <m:rPr>
            <m:sty m:val="i"/>
          </m:rPr>
          <m:t>u</m:t>
        </m:r>
      </m:oMath>
      <w:r>
        <w:rPr/>
        <w:t xml:space="preserve">, qui est un sous-groupe de </w:t>
      </w:r>
      <m:oMath>
        <m:r>
          <m:rPr>
            <m:sty m:val="i"/>
          </m:rPr>
          <m:t>B</m:t>
        </m:r>
      </m:oMath>
      <w:r>
        <w:rPr/>
        <w:t xml:space="preserve">, et </w:t>
      </w:r>
      <m:oMath>
        <m:r>
          <m:rPr>
            <m:sty m:val="i"/>
          </m:rPr>
          <m:t>i</m:t>
        </m:r>
        <m:r>
          <m:rPr>
            <m:sty m:val="p"/>
          </m:rPr>
          <m:t>:</m:t>
        </m:r>
        <m:r>
          <m:rPr>
            <m:sty m:val="i"/>
          </m:rPr>
          <m:t>A</m:t>
        </m:r>
        <m:r>
          <m:rPr>
            <m:sty m:val="p"/>
          </m:rPr>
          <m:t>→</m:t>
        </m:r>
        <m:r>
          <m:rPr>
            <m:sty m:val="i"/>
          </m:rPr>
          <m:t>B</m:t>
        </m:r>
      </m:oMath>
      <w:r>
        <w:rPr/>
        <w:t xml:space="preserve"> l'injection canonique.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pour tout </w:t>
      </w:r>
      <m:oMath>
        <m:r>
          <m:rPr>
            <m:sty m:val="i"/>
          </m:rPr>
          <m:t>γ</m:t>
        </m:r>
        <m:r>
          <m:rPr>
            <m:sty m:val="p"/>
          </m:rPr>
          <m:t>∈</m:t>
        </m:r>
        <m:r>
          <m:rPr>
            <m:sty m:val="p"/>
          </m:rPr>
          <m:t>Γ</m:t>
        </m:r>
      </m:oMath>
      <w:r>
        <w:rPr/>
        <w:t xml:space="preserve"> et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, on a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γ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. On a donc une action de </w:t>
      </w:r>
      <m:oMath>
        <m:r>
          <m:rPr>
            <m:sty m:val="p"/>
          </m:rPr>
          <m:t>Γ</m:t>
        </m:r>
      </m:oMath>
      <w:r>
        <w:rPr/>
        <w:t xml:space="preserve"> sur le groupe </w:t>
      </w:r>
      <m:oMath>
        <m:r>
          <m:rPr>
            <m:sty m:val="i"/>
          </m:rPr>
          <m:t>A</m:t>
        </m:r>
      </m:oMath>
      <w:r>
        <w:rPr/>
        <w:t xml:space="preserve"> par restriction de l'action de </w:t>
      </w:r>
      <m:oMath>
        <m:r>
          <m:rPr>
            <m:sty m:val="p"/>
          </m:rPr>
          <m:t>Γ</m:t>
        </m:r>
      </m:oMath>
      <w:r>
        <w:rPr/>
        <w:t xml:space="preserve"> sur </w:t>
      </w:r>
      <m:oMath>
        <m:r>
          <m:rPr>
            <m:sty m:val="i"/>
          </m:rPr>
          <m:t>B</m:t>
        </m:r>
      </m:oMath>
      <w:r>
        <w:rPr/>
        <w:t xml:space="preserve">, qui fait de </w:t>
      </w:r>
      <m:oMath>
        <m:r>
          <m:rPr>
            <m:sty m:val="i"/>
          </m:rPr>
          <m:t>i</m:t>
        </m:r>
      </m:oMath>
      <w:r>
        <w:rPr/>
        <w:t xml:space="preserve"> un </w:t>
      </w:r>
      <m:oMath>
        <m:r>
          <m:rPr>
            <m:sty m:val="p"/>
          </m:rPr>
          <m:t>Γ</m:t>
        </m:r>
      </m:oMath>
      <w:r>
        <w:rPr/>
        <w:t xml:space="preserve">-morphisme.</w:t>
      </w:r>
      <w:r>
        <w:rPr/>
        <w:br w:type="textWrapping"/>
      </w:r>
      <w:r>
        <w:rPr/>
        <w:t xml:space="preserve">b) Montrer que l'image de </w:t>
      </w:r>
      <m:oMath>
        <m:acc>
          <m:accPr>
            <m:chr m:val="˜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:</m:t>
        </m:r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le noyau de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:</m:t>
        </m:r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On suppose de plus que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Γ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Γ</m:t>
            </m:r>
          </m:sup>
        </m:sSup>
      </m:oMath>
      <w:r>
        <w:rPr/>
        <w:t xml:space="preserve">. Montrer que le noyau de </w:t>
      </w:r>
      <m:oMath>
        <m:acc>
          <m:accPr>
            <m:chr m:val="˜"/>
          </m:accPr>
          <m:e>
            <m:r>
              <m:rPr>
                <m:sty m:val="i"/>
              </m:rPr>
              <m:t>i</m:t>
            </m:r>
          </m:e>
        </m:acc>
      </m:oMath>
      <w:r>
        <w:rPr>
          <w:rFonts w:eastAsia="Georgia" w:cs="Georgia" w:ascii="Georgia" w:hAnsi="Georgia"/>
        </w:rPr>
        <w:t xml:space="preserve"> est réduit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V : Exemples d'ensembles </w:t>
      </w:r>
      <m:oMath>
        <m:r>
          <m:rPr>
            <m:scr m:val="script"/>
          </m:rPr>
          <w:rPr>
            <w:sz w:val="42"/>
          </w:rPr>
          <m:t>H</m:t>
        </m:r>
        <m:r>
          <m:rPr>
            <m:sty m:val="p"/>
          </m:rPr>
          <w:rPr>
            <w:sz w:val="42"/>
          </w:rPr>
          <m:t>(</m:t>
        </m:r>
        <m:r>
          <m:rPr>
            <m:sty m:val="p"/>
          </m:rPr>
          <w:rPr>
            <w:sz w:val="42"/>
          </w:rPr>
          <m:t>Γ</m:t>
        </m:r>
        <m:r>
          <m:rPr>
            <m:sty m:val="p"/>
          </m:rPr>
          <w:rPr>
            <w:sz w:val="42"/>
          </w:rPr>
          <m:t>,</m:t>
        </m:r>
        <m:r>
          <m:rPr>
            <m:sty m:val="i"/>
          </m:rPr>
          <w:rPr>
            <w:sz w:val="42"/>
          </w:rPr>
          <m:t>G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V.1. Soit </w:t>
      </w:r>
      <m:oMath>
        <m:r>
          <m:rPr>
            <m:sty m:val="i"/>
          </m:rPr>
          <m:t>G</m:t>
        </m:r>
      </m:oMath>
      <w:r>
        <w:rPr/>
        <w:t xml:space="preserve"> un sous-groupe commutatif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stable par conjugaison complexe, muni de l'action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définie en I.3. On fait également l'hypothèse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connexe par arcs et vérifie la condition ( L ) définie en II.3.</w:t>
      </w:r>
      <w:r>
        <w:rPr/>
        <w:br w:type="textWrapping"/>
      </w:r>
      <w:r>
        <w:rPr/>
        <w:t xml:space="preserve">a) Montrer que le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-morphisme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qui à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 associe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est surjectif.</w:t>
      </w:r>
      <w:r>
        <w:rPr/>
        <w:br w:type="textWrapping"/>
      </w:r>
      <w:r>
        <w:rPr/>
        <w:t xml:space="preserve">b) Montrer que l'application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:</m:t>
        </m:r>
        <m:r>
          <m:rPr>
            <m:scr m:val="script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Γ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G</m:t>
            </m:r>
          </m:e>
        </m:d>
        <m:r>
          <m:rPr>
            <m:sty m:val="p"/>
          </m:rPr>
          <m:t>→</m:t>
        </m:r>
        <m:r>
          <m:rPr>
            <m:scr m:val="script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Γ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G</m:t>
            </m:r>
          </m:e>
        </m:d>
      </m:oMath>
      <w:r>
        <w:rPr>
          <w:rFonts w:eastAsia="Georgia" w:cs="Georgia" w:ascii="Georgia" w:hAnsi="Georgia"/>
        </w:rPr>
        <w:t xml:space="preserve"> est constante égale à 0 (on pourra raisonner directement sur les cocycles).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cr m:val="script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Γ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G</m:t>
            </m:r>
          </m:e>
        </m:d>
      </m:oMath>
      <w:r>
        <w:rPr/>
        <w:t xml:space="preserve"> est fini.</w:t>
      </w:r>
      <w:r>
        <w:rPr/>
        <w:br w:type="textWrapping"/>
      </w:r>
      <w:r>
        <w:rPr/>
        <w:t xml:space="preserve">V.2. Soit </w:t>
      </w:r>
      <m:oMath>
        <m:sSub>
          <m:sSubPr/>
          <m:e>
            <m:r>
              <m:rPr>
                <m:sty m:val="p"/>
              </m:rPr>
              <m:t>SO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le sous-groupe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des matrices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vérifient en outre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On munit </w:t>
      </w:r>
      <m:oMath>
        <m:sSub>
          <m:sSubPr/>
          <m:e>
            <m:r>
              <m:rPr>
                <m:sty m:val="p"/>
              </m:rPr>
              <m:t>SO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de l'action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par conjugaison complexe.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p"/>
              </m:rPr>
              <m:t>SO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commutatif. Vérifie-t-il la condition (L) ?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le sous-groupe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SO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des éléments </w:t>
      </w:r>
      <m:oMath>
        <m:r>
          <m:rPr>
            <m:sty m:val="i"/>
          </m:rPr>
          <m:t>M</m:t>
        </m:r>
      </m:oMath>
      <w:r>
        <w:rPr/>
        <w:t xml:space="preserve"> tels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Calculer le cardinal de </w:t>
      </w:r>
      <m:oMath>
        <m:r>
          <m:rPr>
            <m:scr m:val="script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Γ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Montrer que l'application </w:t>
      </w:r>
      <m:oMath>
        <m:acc>
          <m:accPr>
            <m:chr m:val="˜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:</m:t>
        </m:r>
        <m:r>
          <m:rPr>
            <m:scr m:val="script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Γ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e>
        </m:d>
        <m:r>
          <m:rPr>
            <m:sty m:val="p"/>
          </m:rPr>
          <m:t>→</m:t>
        </m:r>
        <m:r>
          <m:rPr>
            <m:scr m:val="script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Γ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SO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induite par l'injection canonique </w:t>
      </w:r>
      <m:oMath>
        <m:r>
          <m:rPr>
            <m:sty m:val="i"/>
          </m:rPr>
          <m:t>i</m:t>
        </m:r>
        <m:r>
          <m:rPr>
            <m:sty m:val="p"/>
          </m:rPr>
          <m:t>:</m:t>
        </m:r>
        <m:r>
          <m:rPr>
            <m:sty m:val="i"/>
          </m:rPr>
          <m:t>A</m:t>
        </m:r>
        <m:r>
          <m:rPr>
            <m:sty m:val="p"/>
          </m:rPr>
          <m:t>→</m:t>
        </m:r>
        <m:sSub>
          <m:sSubPr/>
          <m:e>
            <m:r>
              <m:rPr>
                <m:sty m:val="p"/>
              </m:rPr>
              <m:t>SO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n'est pas constante égale à 0 . En déduire le cardinal de </w:t>
      </w:r>
      <m:oMath>
        <m:r>
          <m:rPr>
            <m:scr m:val="script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Γ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SO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V.3. On prend pour </w:t>
      </w:r>
      <m:oMath>
        <m:r>
          <m:rPr>
            <m:sty m:val="i"/>
          </m:rPr>
          <m:t>G</m:t>
        </m:r>
      </m:oMath>
      <w:r>
        <w:rPr/>
        <w:t xml:space="preserve"> et pour </w:t>
      </w:r>
      <m:oMath>
        <m:r>
          <m:rPr>
            <m:sty m:val="p"/>
          </m:rPr>
          <m:t>Γ</m:t>
        </m:r>
      </m:oMath>
      <w:r>
        <w:rPr/>
        <w:t xml:space="preserve"> le groupe additif </w:t>
      </w:r>
      <m:oMath>
        <m:r>
          <m:rPr>
            <m:scr m:val="double-struck"/>
          </m:rPr>
          <m:t>Z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cr m:val="double-struck"/>
          </m:rPr>
          <m:t>Z</m:t>
        </m:r>
      </m:oMath>
      <w:r>
        <w:rPr/>
        <w:t xml:space="preserve">, et pour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le groupe symétrique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 On munit </w:t>
      </w:r>
      <m:oMath>
        <m:r>
          <m:rPr>
            <m:sty m:val="i"/>
          </m:rPr>
          <m:t>G</m:t>
        </m:r>
      </m:oMath>
      <w:r>
        <w:rPr/>
        <w:t xml:space="preserve"> (respectivement </w:t>
      </w:r>
      <m:oMath>
        <m:r>
          <m:rPr>
            <m:sty m:val="i"/>
          </m:rPr>
          <m:t>H</m:t>
        </m:r>
      </m:oMath>
      <w:r>
        <w:rPr/>
        <w:t xml:space="preserve"> ) de l'action de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définie par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γ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γ</m:t>
        </m:r>
        <m:r>
          <m:rPr>
            <m:sty m:val="p"/>
          </m:rPr>
          <m:t>∈</m:t>
        </m:r>
        <m:r>
          <m:rPr>
            <m:sty m:val="p"/>
          </m:rPr>
          <m:t>Γ</m:t>
        </m:r>
      </m:oMath>
      <w:r>
        <w:rPr/>
        <w:t xml:space="preserve"> et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 (respectivement de </w:t>
      </w:r>
      <m:oMath>
        <m:r>
          <m:rPr>
            <m:sty m:val="i"/>
          </m:rPr>
          <m:t>H</m:t>
        </m:r>
      </m:oMath>
      <w:r>
        <w:rPr/>
        <w:t xml:space="preserve"> ). On note </w:t>
      </w:r>
      <m:oMath>
        <m:r>
          <m:rPr>
            <m:sty m:val="i"/>
          </m:rPr>
          <m:t>σ</m:t>
        </m:r>
      </m:oMath>
      <w:r>
        <w:rPr/>
        <w:t xml:space="preserve"> le cycle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i</m:t>
        </m:r>
        <m:r>
          <m:rPr>
            <m:sty m:val="p"/>
          </m:rPr>
          <m:t>:</m:t>
        </m:r>
        <m:r>
          <m:rPr>
            <m:sty m:val="i"/>
          </m:rPr>
          <m:t>G</m:t>
        </m:r>
        <m:r>
          <m:rPr>
            <m:sty m:val="p"/>
          </m:rPr>
          <m:t>→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l'application qui associe à la classe de l'entier </w:t>
      </w:r>
      <m:oMath>
        <m:r>
          <m:rPr>
            <m:sty m:val="i"/>
          </m:rPr>
          <m:t>n</m:t>
        </m:r>
      </m:oMath>
      <w:r>
        <w:rPr/>
        <w:t xml:space="preserve"> la permutation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i</m:t>
        </m:r>
      </m:oMath>
      <w:r>
        <w:rPr/>
        <w:t xml:space="preserve"> est un </w:t>
      </w:r>
      <m:oMath>
        <m:r>
          <m:rPr>
            <m:sty m:val="p"/>
          </m:rPr>
          <m:t>Γ</m:t>
        </m:r>
      </m:oMath>
      <w:r>
        <w:rPr/>
        <w:t xml:space="preserve">-morphisme et que le noyau de </w:t>
      </w:r>
      <m:oMath>
        <m:acc>
          <m:accPr>
            <m:chr m:val="˜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:</m:t>
        </m:r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réduit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acc>
          <m:accPr>
            <m:chr m:val="˜"/>
          </m:accPr>
          <m:e>
            <m:r>
              <m:rPr>
                <m:sty m:val="i"/>
              </m:rPr>
              <m:t>i</m:t>
            </m:r>
          </m:e>
        </m:acc>
      </m:oMath>
      <w:r>
        <w:rPr/>
        <w:t xml:space="preserve"> n'est pas injective.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2025-08-29T16:04:39.574Z</dcterms:created>
  <dcterms:modified xsi:type="dcterms:W3CDTF">2025-08-29T16:04:39.574Z</dcterms:modified>
</cp:coreProperties>
</file>