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Expérimenter avec un morceau de Scotch </w:t>
      </w:r>
      <m:oMath>
        <m:sSup>
          <m:sSupPr>
            <m:ctrlPr>
              <w:rPr>
                <w:rFonts w:ascii="Cambria Math" w:hAnsi="Cambria Math"/>
                <w:sz w:val="42"/>
              </w:rPr>
            </m:ctrlPr>
          </m:sSupPr>
          <m:e>
            <m:r>
              <m:t xml:space="preserve"> </m:t>
            </m:r>
          </m:e>
          <m:sup>
            <m:r>
              <m:rPr>
                <m:sty m:val="i"/>
              </m:rPr>
              <w:rPr>
                <w:sz w:val="42"/>
              </w:rPr>
              <m:t>®</m:t>
            </m:r>
          </m:sup>
        </m:sSup>
      </m:oMath>
    </w:p>
    <w:p>
      <w:pPr>
        <w:spacing w:after="220" w:lineRule="auto"/>
      </w:pPr>
      <w:r>
        <w:rPr>
          <w:rFonts w:eastAsia="Georgia" w:cs="Georgia" w:ascii="Georgia" w:hAnsi="Georgia"/>
        </w:rPr>
        <w:t xml:space="preserve">Conditionné sous forme de rouleau, un ruban adhésif (généralement désigné par le terme «Scotch </w:t>
      </w:r>
      <m:oMath>
        <m:sSup>
          <m:sSupPr/>
          <m:e>
            <m:r>
              <m:t xml:space="preserve"> </m:t>
            </m:r>
          </m:e>
          <m:sup>
            <m:r>
              <m:rPr>
                <m:sty m:val="p"/>
              </m:rPr>
              <m:t>(</m:t>
            </m:r>
            <m:r>
              <m:rPr>
                <m:sty m:val="p"/>
              </m:rPr>
              <m:t>1</m:t>
            </m:r>
            <m:r>
              <m:rPr>
                <m:sty m:val="p"/>
              </m:rPr>
              <m:t>)</m:t>
            </m:r>
          </m:sup>
        </m:sSup>
      </m:oMath>
      <w:r>
        <w:rPr>
          <w:rFonts w:eastAsia="Georgia" w:cs="Georgia" w:ascii="Georgia" w:hAnsi="Georgia"/>
        </w:rPr>
        <w:t xml:space="preserve"> ») est constitué de deux couches solidaires l'une de l'autre : une couche «molle» sur la face interne (celle qui colle) et une couche «dure» sur la face externe du rouleau (qui parait néanmoins souple car très fine). L'épaisseur de l'ensemble est de l'ordre de quelques dizaines de micromètres. On propose d'étudier dans ce problème quelques expériences mettant en jeu les propriétés - adhésives ou autres - des rubans adhésifs.</w:t>
      </w:r>
      <w:r>
        <w:rPr/>
        <w:br w:type="textWrapping"/>
      </w:r>
      <w:r>
        <w:rPr>
          <w:rFonts w:eastAsia="Georgia" w:cs="Georgia" w:ascii="Georgia" w:hAnsi="Georgia"/>
        </w:rPr>
        <w:t xml:space="preserve">Certaines questions, repérées par une barre en marge, ne sont pas guidées et demandent de l'initiative de la part du candidat. Les pistes de recherche doivent être consignées ; si elles sont pertinentes, elles seront valorisées. Le barème tient compte du temps nécessaire pour explorer ces pistes et élaborer un raisonnement.</w:t>
      </w:r>
      <w:r>
        <w:rPr/>
        <w:br w:type="textWrapping"/>
      </w:r>
      <w:r>
        <w:rPr>
          <w:rFonts w:eastAsia="Georgia" w:cs="Georgia" w:ascii="Georgia" w:hAnsi="Georgia"/>
        </w:rPr>
        <w:t xml:space="preserve">Ce sujet est accompagné d'un document réponse à rendre avec la copie. Ce document réponse comporte également une annexe et regroupe des données numériques.</w:t>
      </w:r>
      <w:r>
        <w:rPr/>
        <w:br w:type="textWrapping"/>
      </w:r>
      <w:r>
        <w:rPr>
          <w:rFonts w:eastAsia="Georgia" w:cs="Georgia" w:ascii="Georgia" w:hAnsi="Georgia"/>
        </w:rPr>
        <w:t xml:space="preserve">Les quatre parties sont indépendantes entre elles.</w:t>
      </w:r>
    </w:p>
    <w:p>
      <w:pPr>
        <w:spacing w:line="271" w:before="330" w:lineRule="auto"/>
      </w:pPr>
      <w:r>
        <w:rPr>
          <w:rFonts w:eastAsia="Georgia" w:cs="Georgia" w:ascii="Georgia" w:hAnsi="Georgia"/>
          <w:b/>
          <w:sz w:val="42"/>
        </w:rPr>
        <w:t xml:space="preserve">I Pelage d'un ruban adhésif collé sur un substrat plan</w:t>
      </w:r>
    </w:p>
    <w:p>
      <w:pPr>
        <w:spacing w:line="271" w:before="330" w:lineRule="auto"/>
      </w:pPr>
      <w:r>
        <w:rPr>
          <w:b/>
          <w:sz w:val="42"/>
        </w:rPr>
        <w:t xml:space="preserve">I.A - Principe de l'essai de pelage</w:t>
      </w:r>
    </w:p>
    <w:p>
      <w:pPr>
        <w:spacing w:after="220" w:lineRule="auto"/>
      </w:pPr>
      <w:r>
        <w:rPr>
          <w:rFonts w:eastAsia="Georgia" w:cs="Georgia" w:ascii="Georgia" w:hAnsi="Georgia"/>
        </w:rPr>
        <w:t xml:space="preserve">Pour tester les propriétés d'adhésion d'un ruban adhésif, on réalise généralement des essais de pelage. Pour cela, on commence par coller le ruban adhésif à tester sur un support rigide. Puis on mesure la force </w:t>
      </w:r>
      <m:oMath>
        <m:sSub>
          <m:sSubPr/>
          <m:e>
            <m:r>
              <m:rPr>
                <m:sty m:val="i"/>
              </m:rPr>
              <m:t>F</m:t>
            </m:r>
          </m:e>
          <m:sub>
            <m:r>
              <m:rPr>
                <m:sty m:val="i"/>
              </m:rPr>
              <m:t>p</m:t>
            </m:r>
          </m:sub>
        </m:sSub>
        <m:r>
          <m:rPr>
            <m:sty m:val="p"/>
          </m:rPr>
          <m:t>=</m:t>
        </m:r>
        <m:d>
          <m:dPr>
            <m:begChr m:val="‖"/>
            <m:endChr m:val="‖"/>
            <m:ctrlPr>
              <w:rPr>
                <w:rFonts w:ascii="Cambria Math" w:hAnsi="Cambria Math"/>
              </w:rPr>
            </m:ctrlPr>
          </m:dPr>
          <m:e>
            <m:sSub>
              <m:sSubPr/>
              <m:e>
                <m:acc>
                  <m:accPr>
                    <m:chr m:val="⃗"/>
                  </m:accPr>
                  <m:e>
                    <m:r>
                      <m:rPr>
                        <m:sty m:val="i"/>
                      </m:rPr>
                      <m:t>F</m:t>
                    </m:r>
                  </m:e>
                </m:acc>
              </m:e>
              <m:sub>
                <m:r>
                  <m:rPr>
                    <m:sty m:val="i"/>
                  </m:rPr>
                  <m:t>p</m:t>
                </m:r>
              </m:sub>
            </m:sSub>
          </m:e>
        </m:d>
      </m:oMath>
      <w:r>
        <w:rPr>
          <w:rFonts w:eastAsia="Georgia" w:cs="Georgia" w:ascii="Georgia" w:hAnsi="Georgia"/>
        </w:rPr>
        <w:t xml:space="preserve"> qu'il est nécessaire d'appliquer à l'extrémité du ruban pour le décoller du support tout en maintenant un angle </w:t>
      </w:r>
      <m:oMath>
        <m:r>
          <m:rPr>
            <m:sty m:val="i"/>
          </m:rPr>
          <m:t>θ</m:t>
        </m:r>
      </m:oMath>
      <w:r>
        <w:rPr>
          <w:rFonts w:eastAsia="Georgia" w:cs="Georgia" w:ascii="Georgia" w:hAnsi="Georgia"/>
        </w:rPr>
        <w:t xml:space="preserve"> constant entre le support et la portion de ruban décollée (figure 1).</w:t>
      </w:r>
    </w:p>
    <w:p>
      <w:pPr>
        <w:spacing w:lineRule="auto"/>
        <w:jc w:val="center"/>
      </w:pPr>
      <w:r>
        <w:rPr/>
        <w:drawing>
          <wp:inline distB="0" distL="0" distR="0" distT="0">
            <wp:extent cx="5486400" cy="1606183"/>
            <wp:effectExtent b="0" l="0" r="0" t="0"/>
            <wp:docPr id="1" name="image-d9f5b8ef8b0d66b202a253a697b4fca5fa9fb093.jpg"/>
            <a:graphic>
              <a:graphicData uri="http://schemas.openxmlformats.org/drawingml/2006/picture">
                <pic:pic>
                  <pic:nvPicPr>
                    <pic:cNvPr id="1" name="image-d9f5b8ef8b0d66b202a253a697b4fca5fa9fb093.jpg" descr=""/>
                    <pic:cNvPicPr/>
                  </pic:nvPicPr>
                  <pic:blipFill>
                    <a:blip r:embed="rId5" cstate="print"/>
                    <a:srcRect b="0" l="0" r="0" t="0"/>
                    <a:stretch>
                      <a:fillRect/>
                    </a:stretch>
                  </pic:blipFill>
                  <pic:spPr>
                    <a:xfrm>
                      <a:off x="0" y="0"/>
                      <a:ext cx="5486400" cy="1606183"/>
                    </a:xfrm>
                    <a:prstGeom prst="rect"/>
                  </pic:spPr>
                </pic:pic>
              </a:graphicData>
            </a:graphic>
          </wp:inline>
        </w:drawing>
      </w:r>
    </w:p>
    <w:p>
      <w:pPr>
        <w:spacing w:lineRule="auto"/>
      </w:pPr>
      <w:r>
        <w:rPr>
          <w:rFonts w:eastAsia="Georgia" w:cs="Georgia" w:ascii="Georgia" w:hAnsi="Georgia"/>
        </w:rPr>
        <w:t xml:space="preserve">Figure 1 Pelage d'un morceau de ruban adhésif</w:t>
      </w:r>
    </w:p>
    <w:p>
      <w:pPr>
        <w:spacing w:after="220" w:lineRule="auto"/>
      </w:pPr>
      <w:r>
        <w:rPr>
          <w:rFonts w:eastAsia="Georgia" w:cs="Georgia" w:ascii="Georgia" w:hAnsi="Georgia"/>
        </w:rPr>
        <w:t xml:space="preserve">I.A.1) Au niveau microscopique, les interactions qui permettent l'adhésion du ruban sur le support sont des liaisons de van der Waals. Citer un autre type de liaison chimique et comparer qualitativement l'énergie de liaison de ce type de liaison à celle d'une liaison de van der Waals.</w:t>
      </w:r>
      <w:r>
        <w:rPr/>
        <w:br w:type="textWrapping"/>
      </w:r>
      <w:r>
        <w:rPr>
          <w:rFonts w:eastAsia="Georgia" w:cs="Georgia" w:ascii="Georgia" w:hAnsi="Georgia"/>
        </w:rPr>
        <w:t xml:space="preserve">I.A.2) En première approximation, la force de van der Waals entre deux molécules distantes de </w:t>
      </w:r>
      <m:oMath>
        <m:r>
          <m:rPr>
            <m:sty m:val="i"/>
          </m:rPr>
          <m:t>r</m:t>
        </m:r>
      </m:oMath>
      <w:r>
        <w:rPr>
          <w:rFonts w:eastAsia="Georgia" w:cs="Georgia" w:ascii="Georgia" w:hAnsi="Georgia"/>
        </w:rPr>
        <w:t xml:space="preserve"> dérive du potentiel de Lennard-Jones </w:t>
      </w:r>
      <m:oMath>
        <m:sSub>
          <m:sSubPr/>
          <m:e>
            <m:r>
              <m:rPr>
                <m:sty m:val="i"/>
              </m:rPr>
              <m:t>E</m:t>
            </m:r>
          </m:e>
          <m:sub>
            <m:r>
              <m:rPr>
                <m:sty m:val="i"/>
              </m:rPr>
              <m:t>L</m:t>
            </m:r>
            <m:r>
              <m:rPr>
                <m:sty m:val="i"/>
              </m:rPr>
              <m:t>J</m:t>
            </m:r>
          </m:sub>
        </m:sSub>
        <m:r>
          <m:rPr>
            <m:sty m:val="p"/>
          </m:rPr>
          <m:t>(</m:t>
        </m:r>
        <m:r>
          <m:rPr>
            <m:sty m:val="i"/>
          </m:rPr>
          <m:t>r</m:t>
        </m:r>
        <m:r>
          <m:rPr>
            <m:sty m:val="p"/>
          </m:rPr>
          <m:t>)</m:t>
        </m:r>
        <m:r>
          <m:rPr>
            <m:sty m:val="p"/>
          </m:rPr>
          <m:t>=</m:t>
        </m:r>
        <m:f>
          <m:fPr>
            <m:ctrlPr>
              <w:rPr>
                <w:rFonts w:ascii="Cambria Math" w:hAnsi="Cambria Math"/>
              </w:rPr>
            </m:ctrlPr>
          </m:fPr>
          <m:num>
            <m:r>
              <m:rPr>
                <m:sty m:val="i"/>
              </m:rPr>
              <m:t>α</m:t>
            </m:r>
          </m:num>
          <m:den>
            <m:sSup>
              <m:sSupPr/>
              <m:e>
                <m:r>
                  <m:rPr>
                    <m:sty m:val="i"/>
                  </m:rPr>
                  <m:t>r</m:t>
                </m:r>
              </m:e>
              <m:sup>
                <m:r>
                  <m:rPr>
                    <m:sty m:val="p"/>
                  </m:rPr>
                  <m:t>12</m:t>
                </m:r>
              </m:sup>
            </m:sSup>
          </m:den>
        </m:f>
        <m:r>
          <m:rPr>
            <m:sty m:val="p"/>
          </m:rPr>
          <m:t>−</m:t>
        </m:r>
        <m:f>
          <m:fPr>
            <m:ctrlPr>
              <w:rPr>
                <w:rFonts w:ascii="Cambria Math" w:hAnsi="Cambria Math"/>
              </w:rPr>
            </m:ctrlPr>
          </m:fPr>
          <m:num>
            <m:r>
              <m:rPr>
                <m:sty m:val="i"/>
              </m:rPr>
              <m:t>β</m:t>
            </m:r>
          </m:num>
          <m:den>
            <m:sSup>
              <m:sSupPr/>
              <m:e>
                <m:r>
                  <m:rPr>
                    <m:sty m:val="i"/>
                  </m:rPr>
                  <m:t>r</m:t>
                </m:r>
              </m:e>
              <m:sup>
                <m:r>
                  <m:rPr>
                    <m:sty m:val="p"/>
                  </m:rPr>
                  <m:t>6</m:t>
                </m:r>
              </m:sup>
            </m:sSup>
          </m:den>
        </m:f>
      </m:oMath>
      <w:r>
        <w:rPr>
          <w:rFonts w:eastAsia="Georgia" w:cs="Georgia" w:ascii="Georgia" w:hAnsi="Georgia"/>
        </w:rPr>
        <w:t xml:space="preserve">, où </w:t>
      </w:r>
      <m:oMath>
        <m:r>
          <m:rPr>
            <m:sty m:val="i"/>
          </m:rPr>
          <m:t>α</m:t>
        </m:r>
      </m:oMath>
      <w:r>
        <w:rPr/>
        <w:t xml:space="preserve"> et </w:t>
      </w:r>
      <m:oMath>
        <m:r>
          <m:rPr>
            <m:sty m:val="i"/>
          </m:rPr>
          <m:t>β</m:t>
        </m:r>
      </m:oMath>
      <w:r>
        <w:rPr/>
        <w:t xml:space="preserve"> sont deux constantes positives.</w:t>
      </w:r>
      <w:r>
        <w:rPr/>
        <w:br w:type="textWrapping"/>
      </w:r>
      <w:r>
        <w:rPr>
          <w:rFonts w:eastAsia="Georgia" w:cs="Georgia" w:ascii="Georgia" w:hAnsi="Georgia"/>
        </w:rPr>
        <w:t xml:space="preserve">a) Identifier, en justifiant la réponse, le caractère attractif ou répulsif de chacun des deux termes figurant dans cette expression.</w:t>
      </w:r>
      <w:r>
        <w:rPr/>
        <w:br w:type="textWrapping"/>
      </w:r>
      <w:r>
        <w:rPr>
          <w:rFonts w:eastAsia="Georgia" w:cs="Georgia" w:ascii="Georgia" w:hAnsi="Georgia"/>
        </w:rPr>
        <w:t xml:space="preserve">b) Représenter l'allure de </w:t>
      </w:r>
      <m:oMath>
        <m:sSub>
          <m:sSubPr/>
          <m:e>
            <m:r>
              <m:rPr>
                <m:sty m:val="i"/>
              </m:rPr>
              <m:t>E</m:t>
            </m:r>
          </m:e>
          <m:sub>
            <m:r>
              <m:rPr>
                <m:sty m:val="i"/>
              </m:rPr>
              <m:t>L</m:t>
            </m:r>
            <m:r>
              <m:rPr>
                <m:sty m:val="i"/>
              </m:rPr>
              <m:t>J</m:t>
            </m:r>
          </m:sub>
        </m:sSub>
      </m:oMath>
      <w:r>
        <w:rPr/>
        <w:t xml:space="preserve"> en fonction de </w:t>
      </w:r>
      <m:oMath>
        <m:r>
          <m:rPr>
            <m:sty m:val="i"/>
          </m:rPr>
          <m:t>r</m:t>
        </m:r>
      </m:oMath>
      <w:r>
        <w:rPr>
          <w:rFonts w:eastAsia="Georgia" w:cs="Georgia" w:ascii="Georgia" w:hAnsi="Georgia"/>
        </w:rPr>
        <w:t xml:space="preserve">. Indiquer graphiquement à quoi correspond l'énergie de liaison entre les deux molécules.</w:t>
      </w:r>
      <w:r>
        <w:rPr/>
        <w:br w:type="textWrapping"/>
      </w:r>
      <w:r>
        <w:rPr/>
        <w:t xml:space="preserve">c) Justifier qualitativement que le travail </w:t>
      </w:r>
      <m:oMath>
        <m:sSub>
          <m:sSubPr/>
          <m:e>
            <m:r>
              <m:rPr>
                <m:sty m:val="i"/>
              </m:rPr>
              <m:t>W</m:t>
            </m:r>
          </m:e>
          <m:sub>
            <m:r>
              <m:rPr>
                <m:sty m:val="i"/>
              </m:rPr>
              <m:t>a</m:t>
            </m:r>
            <m:r>
              <m:rPr>
                <m:sty m:val="i"/>
              </m:rPr>
              <m:t>d</m:t>
            </m:r>
            <m:r>
              <m:rPr>
                <m:sty m:val="i"/>
              </m:rPr>
              <m:t>h</m:t>
            </m:r>
          </m:sub>
        </m:sSub>
      </m:oMath>
      <w:r>
        <w:rPr>
          <w:rFonts w:eastAsia="Georgia" w:cs="Georgia" w:ascii="Georgia" w:hAnsi="Georgia"/>
        </w:rPr>
        <w:t xml:space="preserve"> que doit fournir l'opérateur pour décoller le ruban adhésif du support est proportionnel à l'aire </w:t>
      </w:r>
      <m:oMath>
        <m:r>
          <m:rPr>
            <m:sty m:val="i"/>
          </m:rPr>
          <m:t>A</m:t>
        </m:r>
      </m:oMath>
      <w:r>
        <w:rPr/>
        <w:t xml:space="preserve"> de la surface de contact entre le ruban et son support.</w:t>
      </w:r>
    </w:p>
    <w:p>
      <w:pPr>
        <w:spacing w:after="220" w:lineRule="auto"/>
      </w:pPr>
      <w:r>
        <w:rPr>
          <w:rFonts w:eastAsia="Georgia" w:cs="Georgia" w:ascii="Georgia" w:hAnsi="Georgia"/>
        </w:rPr>
        <w:t xml:space="preserve">Pour la suite du problème, on note </w:t>
      </w:r>
      <m:oMath>
        <m:sSub>
          <m:sSubPr/>
          <m:e>
            <m:r>
              <m:rPr>
                <m:sty m:val="i"/>
              </m:rPr>
              <m:t>W</m:t>
            </m:r>
          </m:e>
          <m:sub>
            <m:r>
              <m:rPr>
                <m:nor/>
              </m:rPr>
              <m:t>adh </m:t>
            </m:r>
          </m:sub>
        </m:sSub>
        <m:r>
          <m:rPr>
            <m:sty m:val="p"/>
          </m:rPr>
          <m:t>=</m:t>
        </m:r>
        <m:r>
          <m:rPr>
            <m:sty m:val="i"/>
          </m:rPr>
          <m:t>γ</m:t>
        </m:r>
        <m:r>
          <m:rPr>
            <m:sty m:val="i"/>
          </m:rPr>
          <m:t>A</m:t>
        </m:r>
      </m:oMath>
      <w:r>
        <w:rPr>
          <w:rFonts w:eastAsia="Georgia" w:cs="Georgia" w:ascii="Georgia" w:hAnsi="Georgia"/>
        </w:rPr>
        <w:t xml:space="preserve">, où </w:t>
      </w:r>
      <m:oMath>
        <m:r>
          <m:rPr>
            <m:sty m:val="i"/>
          </m:rPr>
          <m:t>γ</m:t>
        </m:r>
      </m:oMath>
      <w:r>
        <w:rPr>
          <w:rFonts w:eastAsia="Georgia" w:cs="Georgia" w:ascii="Georgia" w:hAnsi="Georgia"/>
        </w:rPr>
        <w:t xml:space="preserve"> est une constante positive caractéristique du ruban et du support mis en contact.</w:t>
      </w:r>
      <w:r>
        <w:rPr/>
        <w:br w:type="textWrapping"/>
      </w:r>
      <w:r>
        <w:rPr>
          <w:rFonts w:eastAsia="Georgia" w:cs="Georgia" w:ascii="Georgia" w:hAnsi="Georgia"/>
        </w:rPr>
        <w:t xml:space="preserve">I.A.3) On considère dans cette question que le décollement se fait de façon quasi-statique et que le ruban est parfaitement inextensible. Le problème étant invariant par translation selon </w:t>
      </w:r>
      <m:oMath>
        <m:r>
          <m:rPr>
            <m:sty m:val="i"/>
          </m:rPr>
          <m:t>O</m:t>
        </m:r>
        <m:r>
          <m:rPr>
            <m:sty m:val="i"/>
          </m:rPr>
          <m:t>z</m:t>
        </m:r>
      </m:oMath>
      <w:r>
        <w:rPr/>
        <w:t xml:space="preserve">, on raisonne dans le plan Oxy. On rappelle que l'angle </w:t>
      </w:r>
      <m:oMath>
        <m:r>
          <m:rPr>
            <m:sty m:val="i"/>
          </m:rPr>
          <m:t>θ</m:t>
        </m:r>
      </m:oMath>
      <w:r>
        <w:rPr>
          <w:rFonts w:eastAsia="Georgia" w:cs="Georgia" w:ascii="Georgia" w:hAnsi="Georgia"/>
        </w:rPr>
        <w:t xml:space="preserve"> reste constant au cours de cette opération.</w:t>
      </w:r>
      <w:r>
        <w:rPr/>
        <w:br w:type="textWrapping"/>
      </w:r>
      <w:r>
        <w:rPr>
          <w:rFonts w:eastAsia="Georgia" w:cs="Georgia" w:ascii="Georgia" w:hAnsi="Georgia"/>
        </w:rPr>
        <w:t xml:space="preserve">a) Exprimer le déplacement élémentaire </w:t>
      </w:r>
      <m:oMath>
        <m:r>
          <m:rPr>
            <m:sty m:val="p"/>
          </m:rPr>
          <m:t>d</m:t>
        </m:r>
        <m:sSub>
          <m:sSubPr/>
          <m:e>
            <m:acc>
              <m:accPr>
                <m:chr m:val="⃗"/>
              </m:accPr>
              <m:e>
                <m:r>
                  <m:rPr>
                    <m:sty m:val="i"/>
                  </m:rPr>
                  <m:t>ℓ</m:t>
                </m:r>
              </m:e>
            </m:acc>
          </m:e>
          <m:sub>
            <m:r>
              <m:rPr>
                <m:sty m:val="i"/>
              </m:rPr>
              <m:t>I</m:t>
            </m:r>
          </m:sub>
        </m:sSub>
      </m:oMath>
      <w:r>
        <w:rPr/>
        <w:t xml:space="preserve"> du point I (point d'application de la force </w:t>
      </w:r>
      <m:oMath>
        <m:sSub>
          <m:sSubPr/>
          <m:e>
            <m:acc>
              <m:accPr>
                <m:chr m:val="⃗"/>
              </m:accPr>
              <m:e>
                <m:r>
                  <m:rPr>
                    <m:sty m:val="i"/>
                  </m:rPr>
                  <m:t>F</m:t>
                </m:r>
              </m:e>
            </m:acc>
          </m:e>
          <m:sub>
            <m:r>
              <m:rPr>
                <m:sty m:val="i"/>
              </m:rPr>
              <m:t>p</m:t>
            </m:r>
          </m:sub>
        </m:sSub>
      </m:oMath>
      <w:r>
        <w:rPr/>
        <w:t xml:space="preserve"> ) lorsque le front de pelage (figure 1) progresse de </w:t>
      </w:r>
      <m:oMath>
        <m:r>
          <m:rPr>
            <m:sty m:val="p"/>
          </m:rPr>
          <m:t>d</m:t>
        </m:r>
        <m:sSub>
          <m:sSubPr/>
          <m:e>
            <m:r>
              <m:rPr>
                <m:sty m:val="i"/>
              </m:rPr>
              <m:t>x</m:t>
            </m:r>
          </m:e>
          <m:sub>
            <m:r>
              <m:rPr>
                <m:sty m:val="i"/>
              </m:rPr>
              <m:t>L</m:t>
            </m:r>
          </m:sub>
        </m:sSub>
      </m:oMath>
      <w:r>
        <w:rPr/>
        <w:t xml:space="preserve">, ainsi que le travail </w:t>
      </w:r>
      <m:oMath>
        <m:r>
          <m:rPr>
            <m:sty m:val="i"/>
          </m:rPr>
          <m:t>δ</m:t>
        </m:r>
        <m:sSub>
          <m:sSubPr/>
          <m:e>
            <m:r>
              <m:rPr>
                <m:sty m:val="i"/>
              </m:rPr>
              <m:t>W</m:t>
            </m:r>
          </m:e>
          <m:sub>
            <m:r>
              <m:rPr>
                <m:sty m:val="i"/>
              </m:rPr>
              <m:t>p</m:t>
            </m:r>
          </m:sub>
        </m:sSub>
      </m:oMath>
      <w:r>
        <w:rPr>
          <w:rFonts w:eastAsia="Georgia" w:cs="Georgia" w:ascii="Georgia" w:hAnsi="Georgia"/>
        </w:rPr>
        <w:t xml:space="preserve"> de la force de pelage associé à cette progression.</w:t>
      </w:r>
      <w:r>
        <w:rPr/>
        <w:br w:type="textWrapping"/>
      </w:r>
      <w:r>
        <w:rPr>
          <w:rFonts w:eastAsia="Georgia" w:cs="Georgia" w:ascii="Georgia" w:hAnsi="Georgia"/>
        </w:rPr>
        <w:t xml:space="preserve">b) En déduire l'expression de la force de pelage </w:t>
      </w:r>
      <m:oMath>
        <m:sSub>
          <m:sSubPr/>
          <m:e>
            <m:r>
              <m:rPr>
                <m:sty m:val="i"/>
              </m:rPr>
              <m:t>F</m:t>
            </m:r>
          </m:e>
          <m:sub>
            <m:r>
              <m:rPr>
                <m:sty m:val="i"/>
              </m:rPr>
              <m:t>p</m:t>
            </m:r>
          </m:sub>
        </m:sSub>
      </m:oMath>
      <w:r>
        <w:rPr/>
        <w:t xml:space="preserve"> en fonction de </w:t>
      </w:r>
      <m:oMath>
        <m:r>
          <m:rPr>
            <m:sty m:val="i"/>
          </m:rPr>
          <m:t>γ</m:t>
        </m:r>
        <m:r>
          <m:rPr>
            <m:sty m:val="p"/>
          </m:rPr>
          <m:t>,</m:t>
        </m:r>
        <m:r>
          <m:rPr>
            <m:sty m:val="i"/>
          </m:rPr>
          <m:t>b</m:t>
        </m:r>
      </m:oMath>
      <w:r>
        <w:rPr/>
        <w:t xml:space="preserve"> et </w:t>
      </w:r>
      <m:oMath>
        <m:r>
          <m:rPr>
            <m:sty m:val="i"/>
          </m:rPr>
          <m:t>θ</m:t>
        </m:r>
      </m:oMath>
      <w:r>
        <w:rPr/>
        <w:t xml:space="preserve">.</w:t>
      </w:r>
      <w:r>
        <w:rPr/>
        <w:br w:type="textWrapping"/>
      </w:r>
      <w:r>
        <w:rPr>
          <w:rFonts w:eastAsia="Georgia" w:cs="Georgia" w:ascii="Georgia" w:hAnsi="Georgia"/>
        </w:rPr>
        <w:t xml:space="preserve">I.A.4) Le dispositif utilisé en pratique est représenté sur la figure 2. Le pelage est réalisé au moyen d'une tige horizontale, de rayon </w:t>
      </w:r>
      <m:oMath>
        <m:sSub>
          <m:sSubPr/>
          <m:e>
            <m:r>
              <m:rPr>
                <m:sty m:val="i"/>
              </m:rPr>
              <m:t>r</m:t>
            </m:r>
          </m:e>
          <m:sub>
            <m:r>
              <m:rPr>
                <m:sty m:val="p"/>
              </m:rPr>
              <m:t>0</m:t>
            </m:r>
          </m:sub>
        </m:sSub>
      </m:oMath>
      <w:r>
        <w:rPr>
          <w:rFonts w:eastAsia="Georgia" w:cs="Georgia" w:ascii="Georgia" w:hAnsi="Georgia"/>
        </w:rPr>
        <w:t xml:space="preserve">, en rotation autour de son axe, et sur laquelle s'enroule le ruban au cours de l'essai (l'axe de la tige est fixe dans le référentiel du laboratoire et situé à une hauteur </w:t>
      </w:r>
      <m:oMath>
        <m:sSub>
          <m:sSubPr/>
          <m:e>
            <m:r>
              <m:rPr>
                <m:sty m:val="i"/>
              </m:rPr>
              <m:t>ℓ</m:t>
            </m:r>
          </m:e>
          <m:sub>
            <m:r>
              <m:rPr>
                <m:sty m:val="p"/>
              </m:rPr>
              <m:t>0</m:t>
            </m:r>
          </m:sub>
        </m:sSub>
      </m:oMath>
      <w:r>
        <w:rPr>
          <w:rFonts w:eastAsia="Georgia" w:cs="Georgia" w:ascii="Georgia" w:hAnsi="Georgia"/>
        </w:rPr>
        <w:t xml:space="preserve"> au-dessus du support). Le support sur lequel est collé l'autre extrémité du ruban est animé d'un mouvement de translation horizontale à la vitesse constante </w:t>
      </w:r>
      <m:oMath>
        <m:sSub>
          <m:sSubPr/>
          <m:e>
            <m:acc>
              <m:accPr>
                <m:chr m:val="⃗"/>
              </m:accPr>
              <m:e>
                <m:r>
                  <m:rPr>
                    <m:sty m:val="i"/>
                  </m:rPr>
                  <m:t>V</m:t>
                </m:r>
              </m:e>
            </m:acc>
          </m:e>
          <m:sub>
            <m:r>
              <m:rPr>
                <m:sty m:val="p"/>
              </m:rPr>
              <m:t>0</m:t>
            </m:r>
          </m:sub>
        </m:sSub>
      </m:oMath>
      <w:r>
        <w:rPr>
          <w:rFonts w:eastAsia="Georgia" w:cs="Georgia" w:ascii="Georgia" w:hAnsi="Georgia"/>
        </w:rPr>
        <w:t xml:space="preserve"> dans le référentiel du laboratoire.</w:t>
      </w:r>
    </w:p>
    <w:p>
      <w:pPr>
        <w:spacing w:lineRule="auto"/>
        <w:jc w:val="center"/>
      </w:pPr>
      <w:r>
        <w:rPr/>
        <w:drawing>
          <wp:inline distB="0" distL="0" distR="0" distT="0">
            <wp:extent cx="5486400" cy="2601266"/>
            <wp:effectExtent b="0" l="0" r="0" t="0"/>
            <wp:docPr id="2" name="image-677e0b49c3e805e59b879450d250edb7559310ae.jpg"/>
            <a:graphic>
              <a:graphicData uri="http://schemas.openxmlformats.org/drawingml/2006/picture">
                <pic:pic>
                  <pic:nvPicPr>
                    <pic:cNvPr id="2" name="image-677e0b49c3e805e59b879450d250edb7559310ae.jpg" descr=""/>
                    <pic:cNvPicPr/>
                  </pic:nvPicPr>
                  <pic:blipFill>
                    <a:blip r:embed="rId6" cstate="print"/>
                    <a:srcRect b="0" l="0" r="0" t="0"/>
                    <a:stretch>
                      <a:fillRect/>
                    </a:stretch>
                  </pic:blipFill>
                  <pic:spPr>
                    <a:xfrm>
                      <a:off x="0" y="0"/>
                      <a:ext cx="5486400" cy="2601266"/>
                    </a:xfrm>
                    <a:prstGeom prst="rect"/>
                  </pic:spPr>
                </pic:pic>
              </a:graphicData>
            </a:graphic>
          </wp:inline>
        </w:drawing>
      </w:r>
    </w:p>
    <w:p>
      <w:pPr>
        <w:spacing w:lineRule="auto"/>
      </w:pPr>
      <w:r>
        <w:rPr>
          <w:rFonts w:eastAsia="Georgia" w:cs="Georgia" w:ascii="Georgia" w:hAnsi="Georgia"/>
        </w:rPr>
        <w:t xml:space="preserve">Figure 2 Schéma du dispositif pratique utilisé pour l'essai de pelage. Le repère </w:t>
      </w:r>
      <m:oMath>
        <m:r>
          <m:rPr>
            <m:sty m:val="i"/>
          </m:rPr>
          <m:t>O</m:t>
        </m:r>
        <m:r>
          <m:rPr>
            <m:sty m:val="i"/>
          </m:rPr>
          <m:t>x</m:t>
        </m:r>
        <m:r>
          <m:rPr>
            <m:sty m:val="i"/>
          </m:rPr>
          <m:t>y</m:t>
        </m:r>
      </m:oMath>
      <w:r>
        <w:rPr>
          <w:rFonts w:eastAsia="Georgia" w:cs="Georgia" w:ascii="Georgia" w:hAnsi="Georgia"/>
        </w:rPr>
        <w:t xml:space="preserve"> est lié au support de pelage. Les points </w:t>
      </w:r>
      <m:oMath>
        <m:r>
          <m:rPr>
            <m:sty m:val="i"/>
          </m:rPr>
          <m:t>I</m:t>
        </m:r>
      </m:oMath>
      <w:r>
        <w:rPr/>
        <w:t xml:space="preserve"> et </w:t>
      </w:r>
      <m:oMath>
        <m:r>
          <m:rPr>
            <m:sty m:val="i"/>
          </m:rPr>
          <m:t>L</m:t>
        </m:r>
      </m:oMath>
      <w:r>
        <w:rPr>
          <w:rFonts w:eastAsia="Georgia" w:cs="Georgia" w:ascii="Georgia" w:hAnsi="Georgia"/>
        </w:rPr>
        <w:t xml:space="preserve"> correspondent aux limites entre les parties collée et décollée du ruban</w:t>
      </w:r>
    </w:p>
    <w:p>
      <w:pPr>
        <w:spacing w:after="220" w:lineRule="auto"/>
      </w:pPr>
      <w:r>
        <w:rPr>
          <w:rFonts w:eastAsia="Georgia" w:cs="Georgia" w:ascii="Georgia" w:hAnsi="Georgia"/>
        </w:rPr>
        <w:t xml:space="preserve">a) Le repère </w:t>
      </w:r>
      <m:oMath>
        <m:r>
          <m:rPr>
            <m:sty m:val="i"/>
          </m:rPr>
          <m:t>O</m:t>
        </m:r>
        <m:r>
          <m:rPr>
            <m:sty m:val="i"/>
          </m:rPr>
          <m:t>x</m:t>
        </m:r>
        <m:r>
          <m:rPr>
            <m:sty m:val="i"/>
          </m:rPr>
          <m:t>y</m:t>
        </m:r>
      </m:oMath>
      <w:r>
        <w:rPr>
          <w:rFonts w:eastAsia="Georgia" w:cs="Georgia" w:ascii="Georgia" w:hAnsi="Georgia"/>
        </w:rPr>
        <w:t xml:space="preserve"> étant lié au support, quelle loi d'évolution </w:t>
      </w:r>
      <m:oMath>
        <m:sSub>
          <m:sSubPr/>
          <m:e>
            <m:r>
              <m:rPr>
                <m:sty m:val="i"/>
              </m:rPr>
              <m:t>x</m:t>
            </m:r>
          </m:e>
          <m:sub>
            <m:r>
              <m:rPr>
                <m:sty m:val="i"/>
              </m:rPr>
              <m:t>L</m:t>
            </m:r>
          </m:sub>
        </m:sSub>
        <m:r>
          <m:rPr>
            <m:sty m:val="p"/>
          </m:rPr>
          <m:t>(</m:t>
        </m:r>
        <m:r>
          <m:rPr>
            <m:sty m:val="i"/>
          </m:rPr>
          <m:t>t</m:t>
        </m:r>
        <m:r>
          <m:rPr>
            <m:sty m:val="p"/>
          </m:rPr>
          <m:t>)</m:t>
        </m:r>
      </m:oMath>
      <w:r>
        <w:rPr/>
        <w:t xml:space="preserve"> devrait-on observer si l'angle </w:t>
      </w:r>
      <m:oMath>
        <m:r>
          <m:rPr>
            <m:sty m:val="i"/>
          </m:rPr>
          <m:t>θ</m:t>
        </m:r>
      </m:oMath>
      <w:r>
        <w:rPr/>
        <w:t xml:space="preserve"> reste constant?</w:t>
      </w:r>
      <w:r>
        <w:rPr/>
        <w:br w:type="textWrapping"/>
      </w:r>
      <w:r>
        <w:rPr>
          <w:rFonts w:eastAsia="Georgia" w:cs="Georgia" w:ascii="Georgia" w:hAnsi="Georgia"/>
        </w:rPr>
        <w:t xml:space="preserve">b) On rappelle que le ruban est supposé inextensible. Comment doit-on choisir </w:t>
      </w:r>
      <m:oMath>
        <m:r>
          <m:rPr>
            <m:sty m:val="p"/>
          </m:rPr>
          <m:t>Ω</m:t>
        </m:r>
      </m:oMath>
      <w:r>
        <w:rPr/>
        <w:t xml:space="preserve"> et </w:t>
      </w:r>
      <m:oMath>
        <m:d>
          <m:dPr>
            <m:begChr m:val="‖"/>
            <m:endChr m:val="‖"/>
            <m:ctrlPr>
              <w:rPr>
                <w:rFonts w:ascii="Cambria Math" w:hAnsi="Cambria Math"/>
              </w:rPr>
            </m:ctrlPr>
          </m:dPr>
          <m:e>
            <m:sSub>
              <m:sSubPr/>
              <m:e>
                <m:acc>
                  <m:accPr>
                    <m:chr m:val="⃗"/>
                  </m:accPr>
                  <m:e>
                    <m:r>
                      <m:rPr>
                        <m:sty m:val="i"/>
                      </m:rPr>
                      <m:t>V</m:t>
                    </m:r>
                  </m:e>
                </m:acc>
              </m:e>
              <m:sub>
                <m:r>
                  <m:rPr>
                    <m:sty m:val="p"/>
                  </m:rPr>
                  <m:t>0</m:t>
                </m:r>
              </m:sub>
            </m:sSub>
          </m:e>
        </m:d>
      </m:oMath>
      <w:r>
        <w:rPr/>
        <w:t xml:space="preserve"> pour maintenir un angle de pelage constant au cours de l'essai?</w:t>
      </w:r>
      <w:r>
        <w:rPr/>
        <w:br w:type="textWrapping"/>
      </w:r>
      <w:r>
        <w:rPr>
          <w:rFonts w:eastAsia="Georgia" w:cs="Georgia" w:ascii="Georgia" w:hAnsi="Georgia"/>
        </w:rPr>
        <w:t xml:space="preserve">c) Initialement, le ruban est positionné de sorte à avoir un angle de pelage </w:t>
      </w:r>
      <m:oMath>
        <m:r>
          <m:rPr>
            <m:sty m:val="i"/>
          </m:rPr>
          <m:t>θ</m:t>
        </m:r>
        <m:r>
          <m:rPr>
            <m:sty m:val="p"/>
          </m:rPr>
          <m:t>≈</m:t>
        </m:r>
        <m:sSup>
          <m:sSupPr/>
          <m:e>
            <m:r>
              <m:rPr>
                <m:sty m:val="p"/>
              </m:rPr>
              <m:t>90</m:t>
            </m:r>
          </m:e>
          <m:sup>
            <m:r>
              <m:rPr>
                <m:sty m:val="p"/>
              </m:rPr>
              <m:t>∘</m:t>
            </m:r>
          </m:sup>
        </m:sSup>
      </m:oMath>
      <w:r>
        <w:rPr/>
        <w:t xml:space="preserve">. Commenter ce choix.</w:t>
      </w:r>
    </w:p>
    <w:p>
      <w:pPr>
        <w:spacing w:line="271" w:before="330" w:lineRule="auto"/>
      </w:pPr>
      <w:r>
        <w:rPr>
          <w:rFonts w:eastAsia="Georgia" w:cs="Georgia" w:ascii="Georgia" w:hAnsi="Georgia"/>
          <w:b/>
          <w:sz w:val="42"/>
        </w:rPr>
        <w:t xml:space="preserve">I.B - Modélisation du comportement dynamique du ruban au cours de l'essai</w:t>
      </w:r>
    </w:p>
    <w:p>
      <w:pPr>
        <w:spacing w:after="220" w:lineRule="auto"/>
      </w:pPr>
      <w:r>
        <w:rPr>
          <w:rFonts w:eastAsia="Georgia" w:cs="Georgia" w:ascii="Georgia" w:hAnsi="Georgia"/>
        </w:rPr>
        <w:t xml:space="preserve">La loi d'évolution de </w:t>
      </w:r>
      <m:oMath>
        <m:sSub>
          <m:sSubPr/>
          <m:e>
            <m:r>
              <m:rPr>
                <m:sty m:val="i"/>
              </m:rPr>
              <m:t>x</m:t>
            </m:r>
          </m:e>
          <m:sub>
            <m:r>
              <m:rPr>
                <m:sty m:val="i"/>
              </m:rPr>
              <m:t>L</m:t>
            </m:r>
          </m:sub>
        </m:sSub>
        <m:r>
          <m:rPr>
            <m:sty m:val="p"/>
          </m:rPr>
          <m:t>(</m:t>
        </m:r>
        <m:r>
          <m:rPr>
            <m:sty m:val="i"/>
          </m:rPr>
          <m:t>t</m:t>
        </m:r>
        <m:r>
          <m:rPr>
            <m:sty m:val="p"/>
          </m:rPr>
          <m:t>)</m:t>
        </m:r>
      </m:oMath>
      <w:r>
        <w:rPr>
          <w:rFonts w:eastAsia="Georgia" w:cs="Georgia" w:ascii="Georgia" w:hAnsi="Georgia"/>
        </w:rPr>
        <w:t xml:space="preserve"> prévue précédemment n'est pas toujours observée en pratique car le ruban présente un comportement légèrement élastique. Au début de l'essai, le ruban commence en effet par se tendre sans se décoller. Puis, lorsque la tension est suffisante, le décollement se produit brutalement, réduisant par conséquent la tension. Le décollement s'arrête alors spontanément, jusqu'à ce que la poursuite du mouvement tende suffisamment le ruban pour que le décollement reprenne, et ainsi de suite... Ce phénomène périodique, connu sous le nom de «stick-slip» (ou «collé-glissé »), est à l'origine du bruit caractéristique du décollement d'un ruban adhésif: «scriiich».</w:t>
      </w:r>
      <w:r>
        <w:rPr/>
        <w:br w:type="textWrapping"/>
      </w:r>
      <w:r>
        <w:rPr>
          <w:rFonts w:eastAsia="Georgia" w:cs="Georgia" w:ascii="Georgia" w:hAnsi="Georgia"/>
        </w:rPr>
        <w:t xml:space="preserve">Dans le référentiel </w:t>
      </w:r>
      <m:oMath>
        <m:r>
          <m:rPr>
            <m:scr m:val="script"/>
          </m:rPr>
          <m:t>R</m:t>
        </m:r>
      </m:oMath>
      <w:r>
        <w:rPr>
          <w:rFonts w:eastAsia="Georgia" w:cs="Georgia" w:ascii="Georgia" w:hAnsi="Georgia"/>
        </w:rPr>
        <w:t xml:space="preserve"> lié au support de pelage, la dynamique du front de pelage s'apparente à celle du système masse-ressort représenté sur la figure 3. La portion de ruban au contact du support est modélisée par la masse </w:t>
      </w:r>
      <m:oMath>
        <m:r>
          <m:rPr>
            <m:sty m:val="i"/>
          </m:rPr>
          <m:t>m</m:t>
        </m:r>
      </m:oMath>
      <w:r>
        <w:rPr>
          <w:rFonts w:eastAsia="Georgia" w:cs="Georgia" w:ascii="Georgia" w:hAnsi="Georgia"/>
        </w:rPr>
        <w:t xml:space="preserve"> tandis que la portion décollée du ruban est modélisée par le ressort de raideur </w:t>
      </w:r>
      <m:oMath>
        <m:r>
          <m:rPr>
            <m:sty m:val="i"/>
          </m:rPr>
          <m:t>k</m:t>
        </m:r>
      </m:oMath>
      <w:r>
        <w:rPr>
          <w:rFonts w:eastAsia="Georgia" w:cs="Georgia" w:ascii="Georgia" w:hAnsi="Georgia"/>
        </w:rPr>
        <w:t xml:space="preserve">, de longueur à vide </w:t>
      </w:r>
      <m:oMath>
        <m:sSub>
          <m:sSubPr/>
          <m:e>
            <m:r>
              <m:rPr>
                <m:sty m:val="i"/>
              </m:rPr>
              <m:t>ℓ</m:t>
            </m:r>
          </m:e>
          <m:sub>
            <m:r>
              <m:rPr>
                <m:sty m:val="p"/>
              </m:rPr>
              <m:t>0</m:t>
            </m:r>
          </m:sub>
        </m:sSub>
      </m:oMath>
      <w:r>
        <w:rPr>
          <w:rFonts w:eastAsia="Georgia" w:cs="Georgia" w:ascii="Georgia" w:hAnsi="Georgia"/>
        </w:rPr>
        <w:t xml:space="preserve"> et dont l'extrémité </w:t>
      </w:r>
      <m:oMath>
        <m:r>
          <m:rPr>
            <m:sty m:val="i"/>
          </m:rPr>
          <m:t>I</m:t>
        </m:r>
      </m:oMath>
      <w:r>
        <w:rPr>
          <w:rFonts w:eastAsia="Georgia" w:cs="Georgia" w:ascii="Georgia" w:hAnsi="Georgia"/>
        </w:rPr>
        <w:t xml:space="preserve"> est animée d'un mouvement rectiligne et uniforme à la vitesse </w:t>
      </w:r>
      <m:oMath>
        <m:sSub>
          <m:sSubPr/>
          <m:e>
            <m:acc>
              <m:accPr>
                <m:chr m:val="⃗"/>
              </m:accPr>
              <m:e>
                <m:r>
                  <m:rPr>
                    <m:sty m:val="i"/>
                  </m:rPr>
                  <m:t>V</m:t>
                </m:r>
              </m:e>
            </m:acc>
          </m:e>
          <m:sub>
            <m:r>
              <m:rPr>
                <m:sty m:val="i"/>
              </m:rPr>
              <m:t>p</m:t>
            </m:r>
          </m:sub>
        </m:sSub>
        <m:r>
          <m:rPr>
            <m:sty m:val="p"/>
          </m:rPr>
          <m:t>=</m:t>
        </m:r>
        <m:r>
          <m:rPr>
            <m:sty m:val="p"/>
          </m:rPr>
          <m:t>−</m:t>
        </m:r>
        <m:sSub>
          <m:sSubPr/>
          <m:e>
            <m:acc>
              <m:accPr>
                <m:chr m:val="⃗"/>
              </m:accPr>
              <m:e>
                <m:r>
                  <m:rPr>
                    <m:sty m:val="i"/>
                  </m:rPr>
                  <m:t>V</m:t>
                </m:r>
              </m:e>
            </m:acc>
          </m:e>
          <m:sub>
            <m:r>
              <m:rPr>
                <m:sty m:val="p"/>
              </m:rPr>
              <m:t>0</m:t>
            </m:r>
          </m:sub>
        </m:sSub>
      </m:oMath>
      <w:r>
        <w:rPr>
          <w:rFonts w:eastAsia="Georgia" w:cs="Georgia" w:ascii="Georgia" w:hAnsi="Georgia"/>
        </w:rPr>
        <w:t xml:space="preserve">. L'action du support sur le ruban est modélisée par une force de frottement </w:t>
      </w:r>
      <m:oMath>
        <m:acc>
          <m:accPr>
            <m:chr m:val="⃗"/>
          </m:accPr>
          <m:e>
            <m:r>
              <m:rPr>
                <m:sty m:val="i"/>
              </m:rPr>
              <m:t>f</m:t>
            </m:r>
          </m:e>
        </m:acc>
        <m:r>
          <m:rPr>
            <m:sty m:val="p"/>
          </m:rPr>
          <m:t>=</m:t>
        </m:r>
        <m:r>
          <m:rPr>
            <m:sty m:val="i"/>
          </m:rPr>
          <m:t>f</m:t>
        </m:r>
        <m:sSub>
          <m:sSubPr/>
          <m:e>
            <m:acc>
              <m:accPr>
                <m:chr m:val="⃗"/>
              </m:accPr>
              <m:e>
                <m:r>
                  <m:rPr>
                    <m:sty m:val="i"/>
                  </m:rPr>
                  <m:t>u</m:t>
                </m:r>
              </m:e>
            </m:acc>
          </m:e>
          <m:sub>
            <m:r>
              <m:rPr>
                <m:sty m:val="i"/>
              </m:rPr>
              <m:t>x</m:t>
            </m:r>
          </m:sub>
        </m:sSub>
      </m:oMath>
      <w:r>
        <w:rPr>
          <w:rFonts w:eastAsia="Georgia" w:cs="Georgia" w:ascii="Georgia" w:hAnsi="Georgia"/>
        </w:rPr>
        <w:t xml:space="preserve"> obéissant aux lois suivantes:</w:t>
      </w:r>
    </w:p>
    <w:p>
      <w:pPr>
        <w:numPr>
          <w:ilvl w:val="0"/>
          <w:numId w:val="1"/>
        </w:numPr>
        <w:spacing w:lineRule="auto"/>
      </w:pPr>
      <w:r>
        <w:rPr/>
        <w:t xml:space="preserve">la masse </w:t>
      </w:r>
      <m:oMath>
        <m:r>
          <m:rPr>
            <m:sty m:val="i"/>
          </m:rPr>
          <m:t>m</m:t>
        </m:r>
      </m:oMath>
      <w:r>
        <w:rPr/>
        <w:t xml:space="preserve"> ne glisse pas sur le support tant que </w:t>
      </w:r>
      <m:oMath>
        <m:r>
          <m:rPr>
            <m:sty m:val="p"/>
          </m:rPr>
          <m:t>‖</m:t>
        </m:r>
        <m:acc>
          <m:accPr>
            <m:chr m:val="⃗"/>
          </m:accPr>
          <m:e>
            <m:r>
              <m:rPr>
                <m:sty m:val="i"/>
              </m:rPr>
              <m:t>f</m:t>
            </m:r>
          </m:e>
        </m:acc>
        <m:r>
          <m:rPr>
            <m:sty m:val="p"/>
          </m:rPr>
          <m:t>‖</m:t>
        </m:r>
        <m:r>
          <m:rPr>
            <m:sty m:val="p"/>
          </m:rPr>
          <m:t>&lt;</m:t>
        </m:r>
        <m:sSub>
          <m:sSubPr/>
          <m:e>
            <m:r>
              <m:rPr>
                <m:sty m:val="i"/>
              </m:rPr>
              <m:t>F</m:t>
            </m:r>
          </m:e>
          <m:sub>
            <m:r>
              <m:rPr>
                <m:sty m:val="i"/>
              </m:rPr>
              <m:t>p</m:t>
            </m:r>
          </m:sub>
        </m:sSub>
      </m:oMath>
      <w:r>
        <w:rPr/>
        <w:t xml:space="preserve">;</w:t>
      </w:r>
    </w:p>
    <w:p>
      <w:pPr>
        <w:numPr>
          <w:ilvl w:val="0"/>
          <w:numId w:val="1"/>
        </w:numPr>
        <w:spacing w:lineRule="auto"/>
      </w:pPr>
      <w:r>
        <w:rPr/>
        <w:t xml:space="preserve">lorsque la masse </w:t>
      </w:r>
      <m:oMath>
        <m:r>
          <m:rPr>
            <m:sty m:val="i"/>
          </m:rPr>
          <m:t>m</m:t>
        </m:r>
      </m:oMath>
      <w:r>
        <w:rPr/>
        <w:t xml:space="preserve"> glisse sur le support, la force </w:t>
      </w:r>
      <m:oMath>
        <m:acc>
          <m:accPr>
            <m:chr m:val="⃗"/>
          </m:accPr>
          <m:e>
            <m:r>
              <m:rPr>
                <m:sty m:val="i"/>
              </m:rPr>
              <m:t>f</m:t>
            </m:r>
          </m:e>
        </m:acc>
      </m:oMath>
      <w:r>
        <w:rPr/>
        <w:t xml:space="preserve"> s'oppose au glissement et </w:t>
      </w:r>
      <m:oMath>
        <m:r>
          <m:rPr>
            <m:sty m:val="p"/>
          </m:rPr>
          <m:t>‖</m:t>
        </m:r>
        <m:acc>
          <m:accPr>
            <m:chr m:val="⃗"/>
          </m:accPr>
          <m:e>
            <m:r>
              <m:rPr>
                <m:sty m:val="i"/>
              </m:rPr>
              <m:t>f</m:t>
            </m:r>
          </m:e>
        </m:acc>
        <m:r>
          <m:rPr>
            <m:sty m:val="p"/>
          </m:rPr>
          <m:t>‖</m:t>
        </m:r>
        <m:r>
          <m:rPr>
            <m:sty m:val="p"/>
          </m:rPr>
          <m:t>=</m:t>
        </m:r>
        <m:r>
          <m:rPr>
            <m:sty m:val="p"/>
          </m:rPr>
          <m:t>(</m:t>
        </m:r>
        <m:r>
          <m:rPr>
            <m:sty m:val="p"/>
          </m:rPr>
          <m:t>1</m:t>
        </m:r>
        <m:r>
          <m:rPr>
            <m:sty m:val="p"/>
          </m:rPr>
          <m:t>−</m:t>
        </m:r>
        <m:r>
          <m:rPr>
            <m:sty m:val="i"/>
          </m:rPr>
          <m:t>ε</m:t>
        </m:r>
        <m:r>
          <m:rPr>
            <m:sty m:val="p"/>
          </m:rPr>
          <m:t>)</m:t>
        </m:r>
        <m:sSub>
          <m:sSubPr/>
          <m:e>
            <m:r>
              <m:rPr>
                <m:sty m:val="i"/>
              </m:rPr>
              <m:t>F</m:t>
            </m:r>
          </m:e>
          <m:sub>
            <m:r>
              <m:rPr>
                <m:sty m:val="i"/>
              </m:rPr>
              <m:t>p</m:t>
            </m:r>
          </m:sub>
        </m:sSub>
      </m:oMath>
      <w:r>
        <w:rPr/>
        <w:t xml:space="preserve"> (avec </w:t>
      </w:r>
      <m:oMath>
        <m:r>
          <m:rPr>
            <m:sty m:val="i"/>
          </m:rPr>
          <m:t>ε</m:t>
        </m:r>
      </m:oMath>
      <w:r>
        <w:rPr/>
        <w:t xml:space="preserve"> une constante telle que </w:t>
      </w:r>
      <m:oMath>
        <m:r>
          <m:rPr>
            <m:sty m:val="p"/>
          </m:rPr>
          <m:t>0</m:t>
        </m:r>
        <m:r>
          <m:rPr>
            <m:sty m:val="p"/>
          </m:rPr>
          <m:t>&lt;</m:t>
        </m:r>
        <m:r>
          <m:rPr>
            <m:sty m:val="i"/>
          </m:rPr>
          <m:t>ε</m:t>
        </m:r>
        <m:r>
          <m:rPr>
            <m:sty m:val="p"/>
          </m:rPr>
          <m:t>&lt;</m:t>
        </m:r>
        <m:r>
          <m:rPr>
            <m:sty m:val="p"/>
          </m:rPr>
          <m:t>1</m:t>
        </m:r>
      </m:oMath>
      <w:r>
        <w:rPr/>
        <w:t xml:space="preserve"> ).</w:t>
      </w:r>
      <w:r>
        <w:rPr/>
        <w:br w:type="textWrapping"/>
      </w:r>
      <w:r>
        <w:rPr>
          <w:rFonts w:eastAsia="Georgia" w:cs="Georgia" w:ascii="Georgia" w:hAnsi="Georgia"/>
        </w:rPr>
        <w:t xml:space="preserve">On néglige l'action de la pesanteur sur l'évolution du système.</w:t>
      </w:r>
    </w:p>
    <w:p>
      <w:pPr>
        <w:spacing w:lineRule="auto"/>
        <w:jc w:val="center"/>
      </w:pPr>
      <w:r>
        <w:rPr/>
        <w:drawing>
          <wp:inline distB="0" distL="0" distR="0" distT="0">
            <wp:extent cx="5486400" cy="1449238"/>
            <wp:effectExtent b="0" l="0" r="0" t="0"/>
            <wp:docPr id="3" name="image-7238bd0f98f14b70614562359e1ffc3db9574680.jpg"/>
            <a:graphic>
              <a:graphicData uri="http://schemas.openxmlformats.org/drawingml/2006/picture">
                <pic:pic>
                  <pic:nvPicPr>
                    <pic:cNvPr id="3" name="image-7238bd0f98f14b70614562359e1ffc3db9574680.jpg" descr=""/>
                    <pic:cNvPicPr/>
                  </pic:nvPicPr>
                  <pic:blipFill>
                    <a:blip r:embed="rId7" cstate="print"/>
                    <a:srcRect b="0" l="0" r="0" t="0"/>
                    <a:stretch>
                      <a:fillRect/>
                    </a:stretch>
                  </pic:blipFill>
                  <pic:spPr>
                    <a:xfrm>
                      <a:off x="0" y="0"/>
                      <a:ext cx="5486400" cy="1449238"/>
                    </a:xfrm>
                    <a:prstGeom prst="rect"/>
                  </pic:spPr>
                </pic:pic>
              </a:graphicData>
            </a:graphic>
          </wp:inline>
        </w:drawing>
      </w:r>
    </w:p>
    <w:p>
      <w:pPr>
        <w:spacing w:lineRule="auto"/>
      </w:pPr>
      <w:r>
        <w:rPr>
          <w:rFonts w:eastAsia="Georgia" w:cs="Georgia" w:ascii="Georgia" w:hAnsi="Georgia"/>
        </w:rPr>
        <w:t xml:space="preserve">Figure 3 Système modèle pour l'étude du mouvement stick-slip</w:t>
      </w:r>
    </w:p>
    <w:p>
      <w:pPr>
        <w:spacing w:after="220" w:lineRule="auto"/>
      </w:pPr>
      <w:r>
        <w:rPr>
          <w:rFonts w:eastAsia="Georgia" w:cs="Georgia" w:ascii="Georgia" w:hAnsi="Georgia"/>
        </w:rPr>
        <w:t xml:space="preserve">I.B.1 Le référentiel </w:t>
      </w:r>
      <m:oMath>
        <m:r>
          <m:rPr>
            <m:scr m:val="script"/>
          </m:rPr>
          <m:t>R</m:t>
        </m:r>
        <m:r>
          <m:rPr>
            <m:sty m:val="p"/>
          </m:rPr>
          <m:t>(</m:t>
        </m:r>
        <m:r>
          <m:rPr>
            <m:sty m:val="i"/>
          </m:rPr>
          <m:t>O</m:t>
        </m:r>
        <m:r>
          <m:rPr>
            <m:sty m:val="i"/>
          </m:rPr>
          <m:t>x</m:t>
        </m:r>
        <m:r>
          <m:rPr>
            <m:sty m:val="i"/>
          </m:rPr>
          <m:t>y</m:t>
        </m:r>
        <m:r>
          <m:rPr>
            <m:sty m:val="i"/>
          </m:rPr>
          <m:t>z</m:t>
        </m:r>
        <m:r>
          <m:rPr>
            <m:sty m:val="p"/>
          </m:rPr>
          <m:t>)</m:t>
        </m:r>
      </m:oMath>
      <w:r>
        <w:rPr>
          <w:rFonts w:eastAsia="Georgia" w:cs="Georgia" w:ascii="Georgia" w:hAnsi="Georgia"/>
        </w:rPr>
        <w:t xml:space="preserve"> lié au support de pelage peut-il être considéré comme galiléen ?</w:t>
      </w:r>
      <w:r>
        <w:rPr/>
        <w:br w:type="textWrapping"/>
      </w:r>
      <w:r>
        <w:rPr>
          <w:rFonts w:eastAsia="Georgia" w:cs="Georgia" w:ascii="Georgia" w:hAnsi="Georgia"/>
        </w:rPr>
        <w:t xml:space="preserve">I.B.2) À l'instant </w:t>
      </w:r>
      <m:oMath>
        <m:r>
          <m:rPr>
            <m:sty m:val="i"/>
          </m:rPr>
          <m:t>t</m:t>
        </m:r>
        <m:r>
          <m:rPr>
            <m:sty m:val="p"/>
          </m:rPr>
          <m:t>=</m:t>
        </m:r>
        <m:r>
          <m:rPr>
            <m:sty m:val="p"/>
          </m:rPr>
          <m:t>0</m:t>
        </m:r>
      </m:oMath>
      <w:r>
        <w:rPr/>
        <w:t xml:space="preserve">, on a </w:t>
      </w:r>
      <m:oMath>
        <m:sSub>
          <m:sSubPr/>
          <m:e>
            <m:r>
              <m:rPr>
                <m:sty m:val="i"/>
              </m:rPr>
              <m:t>x</m:t>
            </m:r>
          </m:e>
          <m:sub>
            <m:r>
              <m:rPr>
                <m:sty m:val="i"/>
              </m:rPr>
              <m:t>L</m:t>
            </m:r>
          </m:sub>
        </m:sSub>
        <m:r>
          <m:rPr>
            <m:sty m:val="p"/>
          </m:rPr>
          <m:t>(</m:t>
        </m:r>
        <m:r>
          <m:rPr>
            <m:sty m:val="p"/>
          </m:rPr>
          <m:t>0</m:t>
        </m:r>
        <m:r>
          <m:rPr>
            <m:sty m:val="p"/>
          </m:rPr>
          <m:t>)</m:t>
        </m:r>
        <m:r>
          <m:rPr>
            <m:sty m:val="p"/>
          </m:rPr>
          <m:t>=</m:t>
        </m:r>
        <m:r>
          <m:rPr>
            <m:sty m:val="p"/>
          </m:rPr>
          <m:t>0</m:t>
        </m:r>
      </m:oMath>
      <w:r>
        <w:rPr/>
        <w:t xml:space="preserve"> et </w:t>
      </w:r>
      <m:oMath>
        <m:r>
          <m:rPr>
            <m:sty m:val="i"/>
          </m:rPr>
          <m:t>ℓ</m:t>
        </m:r>
        <m:r>
          <m:rPr>
            <m:sty m:val="p"/>
          </m:rPr>
          <m:t>(</m:t>
        </m:r>
        <m:r>
          <m:rPr>
            <m:sty m:val="p"/>
          </m:rPr>
          <m:t>0</m:t>
        </m:r>
        <m:r>
          <m:rPr>
            <m:sty m:val="p"/>
          </m:rPr>
          <m:t>)</m:t>
        </m:r>
        <m:r>
          <m:rPr>
            <m:sty m:val="p"/>
          </m:rPr>
          <m:t>=</m:t>
        </m:r>
        <m:sSub>
          <m:sSubPr/>
          <m:e>
            <m:r>
              <m:rPr>
                <m:sty m:val="i"/>
              </m:rPr>
              <m:t>ℓ</m:t>
            </m:r>
          </m:e>
          <m:sub>
            <m:r>
              <m:rPr>
                <m:sty m:val="p"/>
              </m:rPr>
              <m:t>0</m:t>
            </m:r>
          </m:sub>
        </m:sSub>
      </m:oMath>
      <w:r>
        <w:rPr/>
        <w:t xml:space="preserve">. Exprimer la longueur </w:t>
      </w:r>
      <m:oMath>
        <m:r>
          <m:rPr>
            <m:sty m:val="i"/>
          </m:rPr>
          <m:t>ℓ</m:t>
        </m:r>
        <m:r>
          <m:rPr>
            <m:sty m:val="p"/>
          </m:rPr>
          <m:t>(</m:t>
        </m:r>
        <m:r>
          <m:rPr>
            <m:sty m:val="i"/>
          </m:rPr>
          <m:t>t</m:t>
        </m:r>
        <m:r>
          <m:rPr>
            <m:sty m:val="p"/>
          </m:rPr>
          <m:t>)</m:t>
        </m:r>
      </m:oMath>
      <w:r>
        <w:rPr/>
        <w:t xml:space="preserve"> du ressort pour </w:t>
      </w:r>
      <m:oMath>
        <m:r>
          <m:rPr>
            <m:sty m:val="i"/>
          </m:rPr>
          <m:t>t</m:t>
        </m:r>
        <m:r>
          <m:rPr>
            <m:sty m:val="p"/>
          </m:rPr>
          <m:t>&gt;</m:t>
        </m:r>
        <m:r>
          <m:rPr>
            <m:sty m:val="p"/>
          </m:rPr>
          <m:t>0</m:t>
        </m:r>
      </m:oMath>
      <w:r>
        <w:rPr/>
        <w:t xml:space="preserve">, en fonction de </w:t>
      </w:r>
      <m:oMath>
        <m:sSub>
          <m:sSubPr/>
          <m:e>
            <m:r>
              <m:rPr>
                <m:sty m:val="i"/>
              </m:rPr>
              <m:t>ℓ</m:t>
            </m:r>
          </m:e>
          <m:sub>
            <m:r>
              <m:rPr>
                <m:sty m:val="p"/>
              </m:rPr>
              <m:t>0</m:t>
            </m:r>
          </m:sub>
        </m:sSub>
        <m:r>
          <m:rPr>
            <m:sty m:val="p"/>
          </m:rPr>
          <m:t>,</m:t>
        </m:r>
        <m:sSub>
          <m:sSubPr/>
          <m:e>
            <m:r>
              <m:rPr>
                <m:sty m:val="i"/>
              </m:rPr>
              <m:t>V</m:t>
            </m:r>
          </m:e>
          <m:sub>
            <m:r>
              <m:rPr>
                <m:sty m:val="i"/>
              </m:rPr>
              <m:t>p</m:t>
            </m:r>
          </m:sub>
        </m:sSub>
        <m:r>
          <m:rPr>
            <m:sty m:val="p"/>
          </m:rPr>
          <m:t>=</m:t>
        </m:r>
        <m:d>
          <m:dPr>
            <m:begChr m:val="‖"/>
            <m:endChr m:val="‖"/>
            <m:ctrlPr>
              <w:rPr>
                <w:rFonts w:ascii="Cambria Math" w:hAnsi="Cambria Math"/>
              </w:rPr>
            </m:ctrlPr>
          </m:dPr>
          <m:e>
            <m:sSub>
              <m:sSubPr/>
              <m:e>
                <m:acc>
                  <m:accPr>
                    <m:chr m:val="⃗"/>
                  </m:accPr>
                  <m:e>
                    <m:r>
                      <m:rPr>
                        <m:sty m:val="i"/>
                      </m:rPr>
                      <m:t>V</m:t>
                    </m:r>
                  </m:e>
                </m:acc>
              </m:e>
              <m:sub>
                <m:r>
                  <m:rPr>
                    <m:sty m:val="i"/>
                  </m:rPr>
                  <m:t>p</m:t>
                </m:r>
              </m:sub>
            </m:sSub>
          </m:e>
        </m:d>
        <m:r>
          <m:rPr>
            <m:sty m:val="p"/>
          </m:rPr>
          <m:t>,</m:t>
        </m:r>
        <m:sSub>
          <m:sSubPr/>
          <m:e>
            <m:r>
              <m:rPr>
                <m:sty m:val="i"/>
              </m:rPr>
              <m:t>x</m:t>
            </m:r>
          </m:e>
          <m:sub>
            <m:r>
              <m:rPr>
                <m:sty m:val="i"/>
              </m:rPr>
              <m:t>L</m:t>
            </m:r>
          </m:sub>
        </m:sSub>
        <m:r>
          <m:rPr>
            <m:sty m:val="p"/>
          </m:rPr>
          <m:t>(</m:t>
        </m:r>
        <m:r>
          <m:rPr>
            <m:sty m:val="i"/>
          </m:rPr>
          <m:t>t</m:t>
        </m:r>
        <m:r>
          <m:rPr>
            <m:sty m:val="p"/>
          </m:rPr>
          <m:t>)</m:t>
        </m:r>
      </m:oMath>
      <w:r>
        <w:rPr/>
        <w:t xml:space="preserve"> et </w:t>
      </w:r>
      <m:oMath>
        <m:r>
          <m:rPr>
            <m:sty m:val="i"/>
          </m:rPr>
          <m:t>t</m:t>
        </m:r>
      </m:oMath>
      <w:r>
        <w:rPr/>
        <w:t xml:space="preserve">.</w:t>
      </w:r>
      <w:r>
        <w:rPr/>
        <w:br w:type="textWrapping"/>
      </w:r>
      <w:r>
        <w:rPr/>
        <w:t xml:space="preserve">I.B.3) On suppose de plus que </w:t>
      </w:r>
      <m:oMath>
        <m:sSub>
          <m:sSubPr/>
          <m:e>
            <m:acc>
              <m:accPr>
                <m:chr m:val="˙"/>
              </m:accPr>
              <m:e>
                <m:r>
                  <m:rPr>
                    <m:sty m:val="i"/>
                  </m:rPr>
                  <m:t>x</m:t>
                </m:r>
              </m:e>
            </m:acc>
          </m:e>
          <m:sub>
            <m:r>
              <m:rPr>
                <m:sty m:val="i"/>
              </m:rPr>
              <m:t>L</m:t>
            </m:r>
          </m:sub>
        </m:sSub>
        <m:r>
          <m:rPr>
            <m:sty m:val="p"/>
          </m:rPr>
          <m:t>(</m:t>
        </m:r>
        <m:r>
          <m:rPr>
            <m:sty m:val="p"/>
          </m:rPr>
          <m:t>0</m:t>
        </m:r>
        <m:r>
          <m:rPr>
            <m:sty m:val="p"/>
          </m:rPr>
          <m:t>)</m:t>
        </m:r>
        <m:r>
          <m:rPr>
            <m:sty m:val="p"/>
          </m:rPr>
          <m:t>=</m:t>
        </m:r>
        <m:r>
          <m:rPr>
            <m:sty m:val="p"/>
          </m:rPr>
          <m:t>0</m:t>
        </m:r>
      </m:oMath>
      <w:r>
        <w:rPr>
          <w:rFonts w:eastAsia="Georgia" w:cs="Georgia" w:ascii="Georgia" w:hAnsi="Georgia"/>
        </w:rPr>
        <w:t xml:space="preserve">. Montrer que l'évolution du système pour </w:t>
      </w:r>
      <m:oMath>
        <m:r>
          <m:rPr>
            <m:sty m:val="i"/>
          </m:rPr>
          <m:t>t</m:t>
        </m:r>
        <m:r>
          <m:rPr>
            <m:sty m:val="p"/>
          </m:rPr>
          <m:t>&gt;</m:t>
        </m:r>
        <m:r>
          <m:rPr>
            <m:sty m:val="p"/>
          </m:rPr>
          <m:t>0</m:t>
        </m:r>
      </m:oMath>
      <w:r>
        <w:rPr>
          <w:rFonts w:eastAsia="Georgia" w:cs="Georgia" w:ascii="Georgia" w:hAnsi="Georgia"/>
        </w:rPr>
        <w:t xml:space="preserve"> commence nécessairement par une phase de stick (le ruban se tend sans se décoller). Déterminer à quel instant </w:t>
      </w:r>
      <m:oMath>
        <m:sSub>
          <m:sSubPr/>
          <m:e>
            <m:r>
              <m:rPr>
                <m:sty m:val="i"/>
              </m:rPr>
              <m:t>t</m:t>
            </m:r>
          </m:e>
          <m:sub>
            <m:r>
              <m:rPr>
                <m:sty m:val="p"/>
              </m:rPr>
              <m:t>0</m:t>
            </m:r>
          </m:sub>
        </m:sSub>
      </m:oMath>
      <w:r>
        <w:rPr/>
        <w:t xml:space="preserve"> se termine cette phase.</w:t>
      </w:r>
      <w:r>
        <w:rPr/>
        <w:br w:type="textWrapping"/>
      </w:r>
      <w:r>
        <w:rPr>
          <w:rFonts w:eastAsia="Georgia" w:cs="Georgia" w:ascii="Georgia" w:hAnsi="Georgia"/>
        </w:rPr>
        <w:t xml:space="preserve">I.B.4) Établir l'équation du mouvement de la masse </w:t>
      </w:r>
      <m:oMath>
        <m:r>
          <m:rPr>
            <m:sty m:val="i"/>
          </m:rPr>
          <m:t>m</m:t>
        </m:r>
      </m:oMath>
      <w:r>
        <w:rPr/>
        <w:t xml:space="preserve"> lors de la phase suivante (phase de slip). Identifier la pulsation propre </w:t>
      </w:r>
      <m:oMath>
        <m:sSub>
          <m:sSubPr/>
          <m:e>
            <m:r>
              <m:rPr>
                <m:sty m:val="i"/>
              </m:rPr>
              <m:t>ω</m:t>
            </m:r>
          </m:e>
          <m:sub>
            <m:r>
              <m:rPr>
                <m:sty m:val="p"/>
              </m:rPr>
              <m:t>0</m:t>
            </m:r>
          </m:sub>
        </m:sSub>
      </m:oMath>
      <w:r>
        <w:rPr>
          <w:rFonts w:eastAsia="Georgia" w:cs="Georgia" w:ascii="Georgia" w:hAnsi="Georgia"/>
        </w:rPr>
        <w:t xml:space="preserve"> du système.</w:t>
      </w:r>
      <w:r>
        <w:rPr/>
        <w:br w:type="textWrapping"/>
      </w:r>
      <w:r>
        <w:rPr>
          <w:rFonts w:eastAsia="Georgia" w:cs="Georgia" w:ascii="Georgia" w:hAnsi="Georgia"/>
        </w:rPr>
        <w:t xml:space="preserve">I.B.5) La solution de l'équation précédente s'écrit sous la forme</w:t>
      </w:r>
    </w:p>
    <w:p>
      <w:pPr>
        <w:spacing w:after="220" w:lineRule="auto"/>
      </w:pPr>
      <m:oMathPara>
        <m:oMath>
          <m:sSub>
            <m:sSubPr/>
            <m:e>
              <m:r>
                <m:rPr>
                  <m:sty m:val="i"/>
                </m:rPr>
                <m:t>x</m:t>
              </m:r>
            </m:e>
            <m:sub>
              <m:r>
                <m:rPr>
                  <m:sty m:val="i"/>
                </m:rPr>
                <m:t>L</m:t>
              </m:r>
            </m:sub>
          </m:sSub>
          <m:d>
            <m:dPr>
              <m:begChr m:val="("/>
              <m:endChr m:val=")"/>
              <m:ctrlPr>
                <w:rPr>
                  <w:rFonts w:ascii="Cambria Math" w:hAnsi="Cambria Math"/>
                </w:rPr>
              </m:ctrlPr>
            </m:dPr>
            <m:e>
              <m:sSup>
                <m:sSupPr/>
                <m:e>
                  <m:r>
                    <m:rPr>
                      <m:sty m:val="i"/>
                    </m:rPr>
                    <m:t>t</m:t>
                  </m:r>
                </m:e>
                <m:sup>
                  <m:r>
                    <m:rPr>
                      <m:sty m:val="i"/>
                    </m:rPr>
                    <m:t>′</m:t>
                  </m:r>
                </m:sup>
              </m:sSup>
            </m:e>
          </m:d>
          <m:r>
            <m:rPr>
              <m:sty m:val="p"/>
            </m:rPr>
            <m:t>=</m:t>
          </m:r>
          <m:sSub>
            <m:sSubPr/>
            <m:e>
              <m:r>
                <m:rPr>
                  <m:sty m:val="i"/>
                </m:rPr>
                <m:t>C</m:t>
              </m:r>
            </m:e>
            <m:sub>
              <m:r>
                <m:rPr>
                  <m:sty m:val="p"/>
                </m:rPr>
                <m:t>1</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sSup>
                <m:sSupPr/>
                <m:e>
                  <m:r>
                    <m:rPr>
                      <m:sty m:val="i"/>
                    </m:rPr>
                    <m:t>t</m:t>
                  </m:r>
                </m:e>
                <m:sup>
                  <m:r>
                    <m:rPr>
                      <m:sty m:val="i"/>
                    </m:rPr>
                    <m:t>′</m:t>
                  </m:r>
                </m:sup>
              </m:sSup>
            </m:e>
          </m:d>
          <m:r>
            <m:rPr>
              <m:sty m:val="p"/>
            </m:rPr>
            <m:t>+</m:t>
          </m:r>
          <m:sSub>
            <m:sSubPr/>
            <m:e>
              <m:r>
                <m:rPr>
                  <m:sty m:val="i"/>
                </m:rPr>
                <m:t>C</m:t>
              </m:r>
            </m:e>
            <m:sub>
              <m:r>
                <m:rPr>
                  <m:sty m:val="p"/>
                </m:rPr>
                <m:t>2</m:t>
              </m:r>
            </m:sub>
          </m:sSub>
          <m:r>
            <m:rPr>
              <m:sty m:val="p"/>
            </m:rPr>
            <m:t>sin</m:t>
          </m:r>
          <m:r>
            <m:rPr>
              <m:sty m:val="p"/>
            </m:rPr>
            <m:t>⁡</m:t>
          </m:r>
          <m:d>
            <m:dPr>
              <m:begChr m:val="("/>
              <m:endChr m:val=")"/>
              <m:ctrlPr>
                <w:rPr>
                  <w:rFonts w:ascii="Cambria Math" w:hAnsi="Cambria Math"/>
                </w:rPr>
              </m:ctrlPr>
            </m:dPr>
            <m:e>
              <m:sSub>
                <m:sSubPr/>
                <m:e>
                  <m:r>
                    <m:rPr>
                      <m:sty m:val="i"/>
                    </m:rPr>
                    <m:t>ω</m:t>
                  </m:r>
                </m:e>
                <m:sub>
                  <m:r>
                    <m:rPr>
                      <m:sty m:val="p"/>
                    </m:rPr>
                    <m:t>0</m:t>
                  </m:r>
                </m:sub>
              </m:sSub>
              <m:sSup>
                <m:sSupPr/>
                <m:e>
                  <m:r>
                    <m:rPr>
                      <m:sty m:val="i"/>
                    </m:rPr>
                    <m:t>t</m:t>
                  </m:r>
                </m:e>
                <m:sup>
                  <m:r>
                    <m:rPr>
                      <m:sty m:val="i"/>
                    </m:rPr>
                    <m:t>′</m:t>
                  </m:r>
                </m:sup>
              </m:sSup>
            </m:e>
          </m:d>
          <m:r>
            <m:rPr>
              <m:sty m:val="p"/>
            </m:rPr>
            <m:t>+</m:t>
          </m:r>
          <m:sSub>
            <m:sSubPr/>
            <m:e>
              <m:r>
                <m:rPr>
                  <m:sty m:val="i"/>
                </m:rPr>
                <m:t>V</m:t>
              </m:r>
            </m:e>
            <m:sub>
              <m:r>
                <m:rPr>
                  <m:sty m:val="i"/>
                </m:rPr>
                <m:t>p</m:t>
              </m:r>
            </m:sub>
          </m:sSub>
          <m:sSup>
            <m:sSupPr/>
            <m:e>
              <m:r>
                <m:rPr>
                  <m:sty m:val="i"/>
                </m:rPr>
                <m:t>t</m:t>
              </m:r>
            </m:e>
            <m:sup>
              <m:r>
                <m:rPr>
                  <m:sty m:val="i"/>
                </m:rPr>
                <m:t>′</m:t>
              </m:r>
            </m:sup>
          </m:sSup>
          <m:r>
            <m:rPr>
              <m:sty m:val="p"/>
            </m:rPr>
            <m:t>+</m:t>
          </m:r>
          <m:sSub>
            <m:sSubPr/>
            <m:e>
              <m:r>
                <m:rPr>
                  <m:sty m:val="i"/>
                </m:rPr>
                <m:t>C</m:t>
              </m:r>
            </m:e>
            <m:sub>
              <m:r>
                <m:rPr>
                  <m:sty m:val="p"/>
                </m:rPr>
                <m:t>3</m:t>
              </m:r>
            </m:sub>
          </m:sSub>
          <m:r>
            <m:rPr>
              <m:sty m:val="p"/>
            </m:rPr>
            <m:t xml:space="preserve"> </m:t>
          </m:r>
          <m:r>
            <m:rPr>
              <m:nor/>
            </m:rPr>
            <m:t> avec </m:t>
          </m:r>
          <m:r>
            <m:rPr>
              <m:sty m:val="p"/>
            </m:rPr>
            <m:t xml:space="preserve"> </m:t>
          </m:r>
          <m:sSup>
            <m:sSupPr/>
            <m:e>
              <m:r>
                <m:rPr>
                  <m:sty m:val="i"/>
                </m:rPr>
                <m:t>t</m:t>
              </m:r>
            </m:e>
            <m:sup>
              <m:r>
                <m:rPr>
                  <m:sty m:val="i"/>
                </m:rPr>
                <m:t>′</m:t>
              </m:r>
            </m:sup>
          </m:sSup>
          <m:r>
            <m:rPr>
              <m:sty m:val="p"/>
            </m:rPr>
            <m:t>=</m:t>
          </m:r>
          <m:r>
            <m:rPr>
              <m:sty m:val="i"/>
            </m:rPr>
            <m:t>t</m:t>
          </m:r>
          <m:r>
            <m:rPr>
              <m:sty m:val="p"/>
            </m:rPr>
            <m:t>−</m:t>
          </m:r>
          <m:sSub>
            <m:sSubPr/>
            <m:e>
              <m:r>
                <m:rPr>
                  <m:sty m:val="i"/>
                </m:rPr>
                <m:t>t</m:t>
              </m:r>
            </m:e>
            <m:sub>
              <m:r>
                <m:rPr>
                  <m:sty m:val="p"/>
                </m:rPr>
                <m:t>0</m:t>
              </m:r>
            </m:sub>
          </m:sSub>
        </m:oMath>
      </m:oMathPara>
    </w:p>
    <w:p>
      <w:pPr>
        <w:spacing w:after="220" w:lineRule="auto"/>
      </w:pPr>
      <w:r>
        <w:rPr>
          <w:rFonts w:eastAsia="Georgia" w:cs="Georgia" w:ascii="Georgia" w:hAnsi="Georgia"/>
        </w:rPr>
        <w:t xml:space="preserve">Déterminer les expressions des constantes </w:t>
      </w:r>
      <m:oMath>
        <m:sSub>
          <m:sSubPr/>
          <m:e>
            <m:r>
              <m:rPr>
                <m:sty m:val="i"/>
              </m:rPr>
              <m:t>C</m:t>
            </m:r>
          </m:e>
          <m:sub>
            <m:r>
              <m:rPr>
                <m:sty m:val="p"/>
              </m:rPr>
              <m:t>1</m:t>
            </m:r>
          </m:sub>
        </m:sSub>
        <m:r>
          <m:rPr>
            <m:sty m:val="p"/>
          </m:rPr>
          <m:t>,</m:t>
        </m:r>
        <m:sSub>
          <m:sSubPr/>
          <m:e>
            <m:r>
              <m:rPr>
                <m:sty m:val="i"/>
              </m:rPr>
              <m:t>C</m:t>
            </m:r>
          </m:e>
          <m:sub>
            <m:r>
              <m:rPr>
                <m:sty m:val="p"/>
              </m:rPr>
              <m:t>2</m:t>
            </m:r>
          </m:sub>
        </m:sSub>
      </m:oMath>
      <w:r>
        <w:rPr/>
        <w:t xml:space="preserve"> et </w:t>
      </w:r>
      <m:oMath>
        <m:sSub>
          <m:sSubPr/>
          <m:e>
            <m:r>
              <m:rPr>
                <m:sty m:val="i"/>
              </m:rPr>
              <m:t>C</m:t>
            </m:r>
          </m:e>
          <m:sub>
            <m:r>
              <m:rPr>
                <m:sty m:val="p"/>
              </m:rPr>
              <m:t>3</m:t>
            </m:r>
          </m:sub>
        </m:sSub>
      </m:oMath>
      <w:r>
        <w:rPr>
          <w:rFonts w:eastAsia="Georgia" w:cs="Georgia" w:ascii="Georgia" w:hAnsi="Georgia"/>
        </w:rPr>
        <w:t xml:space="preserve"> correspondant à cette phase du mouvement.</w:t>
      </w:r>
      <w:r>
        <w:rPr/>
        <w:br w:type="textWrapping"/>
      </w:r>
      <w:r>
        <w:rPr>
          <w:rFonts w:eastAsia="Georgia" w:cs="Georgia" w:ascii="Georgia" w:hAnsi="Georgia"/>
        </w:rPr>
        <w:t xml:space="preserve">I.B.6) Une simulation numérique permet de représenter l'évolution de la solution mathématique </w:t>
      </w:r>
      <m:oMath>
        <m:sSub>
          <m:sSubPr/>
          <m:e>
            <m:r>
              <m:rPr>
                <m:sty m:val="i"/>
              </m:rPr>
              <m:t>x</m:t>
            </m:r>
          </m:e>
          <m:sub>
            <m:r>
              <m:rPr>
                <m:sty m:val="i"/>
              </m:rPr>
              <m:t>L</m:t>
            </m:r>
          </m:sub>
        </m:sSub>
        <m:d>
          <m:dPr>
            <m:begChr m:val="("/>
            <m:endChr m:val=")"/>
            <m:ctrlPr>
              <w:rPr>
                <w:rFonts w:ascii="Cambria Math" w:hAnsi="Cambria Math"/>
              </w:rPr>
            </m:ctrlPr>
          </m:dPr>
          <m:e>
            <m:sSup>
              <m:sSupPr/>
              <m:e>
                <m:r>
                  <m:rPr>
                    <m:sty m:val="i"/>
                  </m:rPr>
                  <m:t>t</m:t>
                </m:r>
              </m:e>
              <m:sup>
                <m:r>
                  <m:rPr>
                    <m:sty m:val="i"/>
                  </m:rPr>
                  <m:t>′</m:t>
                </m:r>
              </m:sup>
            </m:sSup>
          </m:e>
        </m:d>
      </m:oMath>
      <w:r>
        <w:rPr>
          <w:rFonts w:eastAsia="Georgia" w:cs="Georgia" w:ascii="Georgia" w:hAnsi="Georgia"/>
        </w:rPr>
        <w:t xml:space="preserve"> précédente pour différentes valeurs de la vitesse de pelage </w:t>
      </w:r>
      <m:oMath>
        <m:sSub>
          <m:sSubPr/>
          <m:e>
            <m:r>
              <m:rPr>
                <m:sty m:val="i"/>
              </m:rPr>
              <m:t>V</m:t>
            </m:r>
          </m:e>
          <m:sub>
            <m:r>
              <m:rPr>
                <m:sty m:val="i"/>
              </m:rPr>
              <m:t>p</m:t>
            </m:r>
          </m:sub>
        </m:sSub>
      </m:oMath>
      <w:r>
        <w:rPr>
          <w:rFonts w:eastAsia="Georgia" w:cs="Georgia" w:ascii="Georgia" w:hAnsi="Georgia"/>
        </w:rPr>
        <w:t xml:space="preserve">. Les paramètres choisis pour réaliser cette simulation sont :</w:t>
      </w:r>
    </w:p>
    <w:p>
      <w:pPr>
        <w:spacing w:after="220" w:lineRule="auto"/>
      </w:pPr>
      <m:oMathPara>
        <m:oMath>
          <m:r>
            <m:rPr>
              <m:sty m:val="i"/>
            </m:rPr>
            <m:t>ε</m:t>
          </m:r>
          <m:r>
            <m:rPr>
              <m:sty m:val="p"/>
            </m:rPr>
            <m:t>=</m:t>
          </m:r>
          <m:r>
            <m:rPr>
              <m:sty m:val="p"/>
            </m:rPr>
            <m:t>0</m:t>
          </m:r>
          <m:r>
            <m:rPr>
              <m:sty m:val="p"/>
            </m:rPr>
            <m:t>,</m:t>
          </m:r>
          <m:r>
            <m:rPr>
              <m:sty m:val="p"/>
            </m:rPr>
            <m:t>15</m:t>
          </m:r>
          <m:r>
            <m:rPr>
              <m:sty m:val="p"/>
            </m:rPr>
            <m:t xml:space="preserve"> </m:t>
          </m:r>
          <m:f>
            <m:fPr>
              <m:ctrlPr>
                <w:rPr>
                  <w:rFonts w:ascii="Cambria Math" w:hAnsi="Cambria Math"/>
                </w:rPr>
              </m:ctrlPr>
            </m:fPr>
            <m:num>
              <m:sSub>
                <m:sSubPr/>
                <m:e>
                  <m:r>
                    <m:rPr>
                      <m:sty m:val="i"/>
                    </m:rPr>
                    <m:t>F</m:t>
                  </m:r>
                </m:e>
                <m:sub>
                  <m:r>
                    <m:rPr>
                      <m:sty m:val="i"/>
                    </m:rPr>
                    <m:t>p</m:t>
                  </m:r>
                </m:sub>
              </m:sSub>
            </m:num>
            <m:den>
              <m:r>
                <m:rPr>
                  <m:sty m:val="i"/>
                </m:rPr>
                <m:t>k</m:t>
              </m:r>
            </m:den>
          </m:f>
          <m:r>
            <m:rPr>
              <m:sty m:val="p"/>
            </m:rPr>
            <m:t>=</m:t>
          </m:r>
          <m:r>
            <m:rPr>
              <m:sty m:val="p"/>
            </m:rPr>
            <m:t>1</m:t>
          </m:r>
          <m:r>
            <m:rPr>
              <m:sty m:val="p"/>
            </m:rPr>
            <m:t>,</m:t>
          </m:r>
          <m:r>
            <m:rPr>
              <m:sty m:val="p"/>
            </m:rPr>
            <m:t>0</m:t>
          </m:r>
          <m:r>
            <m:rPr>
              <m:nor/>
            </m:rPr>
            <m:t xml:space="preserve"> </m:t>
          </m:r>
          <m:r>
            <m:rPr>
              <m:sty m:val="p"/>
            </m:rPr>
            <m:t>mm</m:t>
          </m:r>
          <m:r>
            <m:rPr>
              <m:sty m:val="p"/>
            </m:rPr>
            <m:t xml:space="preserve"> </m:t>
          </m:r>
          <m:sSub>
            <m:sSubPr/>
            <m:e>
              <m:r>
                <m:rPr>
                  <m:sty m:val="i"/>
                </m:rPr>
                <m:t>ω</m:t>
              </m:r>
            </m:e>
            <m:sub>
              <m:r>
                <m:rPr>
                  <m:sty m:val="p"/>
                </m:rPr>
                <m:t>0</m:t>
              </m:r>
            </m:sub>
          </m:sSub>
          <m:r>
            <m:rPr>
              <m:sty m:val="p"/>
            </m:rPr>
            <m:t>=</m:t>
          </m:r>
          <m:r>
            <m:rPr>
              <m:sty m:val="p"/>
            </m:rPr>
            <m:t>1</m:t>
          </m:r>
          <m:r>
            <m:rPr>
              <m:sty m:val="p"/>
            </m:rPr>
            <m:t>,</m:t>
          </m:r>
          <m:r>
            <m:rPr>
              <m:sty m:val="p"/>
            </m:rPr>
            <m:t>0</m:t>
          </m:r>
          <m:r>
            <m:rPr>
              <m:sty m:val="p"/>
            </m:rPr>
            <m:t>×</m:t>
          </m:r>
          <m:sSup>
            <m:sSupPr/>
            <m:e>
              <m:r>
                <m:rPr>
                  <m:sty m:val="p"/>
                </m:rPr>
                <m:t>10</m:t>
              </m:r>
            </m:e>
            <m:sup>
              <m:r>
                <m:rPr>
                  <m:sty m:val="p"/>
                </m:rPr>
                <m:t>4</m:t>
              </m:r>
            </m:sup>
          </m:sSup>
          <m:r>
            <m:rPr>
              <m:sty m:val="p"/>
            </m:rPr>
            <m:t>rad</m:t>
          </m:r>
          <m:r>
            <m:rPr>
              <m:sty m:val="p"/>
            </m:rPr>
            <m:t>⋅</m:t>
          </m:r>
          <m:sSup>
            <m:sSupPr/>
            <m:e>
              <m:r>
                <m:rPr>
                  <m:nor/>
                </m:rPr>
                <m:t xml:space="preserve"> </m:t>
              </m:r>
              <m:r>
                <m:rPr>
                  <m:sty m:val="p"/>
                </m:rPr>
                <m:t>s</m:t>
              </m:r>
            </m:e>
            <m:sup>
              <m:r>
                <m:rPr>
                  <m:sty m:val="p"/>
                </m:rPr>
                <m:t>−</m:t>
              </m:r>
              <m:r>
                <m:rPr>
                  <m:sty m:val="p"/>
                </m:rPr>
                <m:t>1</m:t>
              </m:r>
            </m:sup>
          </m:sSup>
        </m:oMath>
      </m:oMathPara>
    </w:p>
    <w:p>
      <w:pPr>
        <w:spacing w:after="220" w:lineRule="auto"/>
      </w:pPr>
      <w:r>
        <w:rPr>
          <w:rFonts w:eastAsia="Georgia" w:cs="Georgia" w:ascii="Georgia" w:hAnsi="Georgia"/>
        </w:rPr>
        <w:t xml:space="preserve">Les courbes correspondant à </w:t>
      </w:r>
      <m:oMath>
        <m:sSub>
          <m:sSubPr/>
          <m:e>
            <m:r>
              <m:rPr>
                <m:sty m:val="i"/>
              </m:rPr>
              <m:t>V</m:t>
            </m:r>
          </m:e>
          <m:sub>
            <m:r>
              <m:rPr>
                <m:sty m:val="i"/>
              </m:rPr>
              <m:t>p</m:t>
            </m:r>
          </m:sub>
        </m:sSub>
        <m:r>
          <m:rPr>
            <m:sty m:val="p"/>
          </m:rPr>
          <m:t>=</m:t>
        </m:r>
        <m:r>
          <m:rPr>
            <m:sty m:val="p"/>
          </m:rPr>
          <m:t>2</m:t>
        </m:r>
        <m:r>
          <m:rPr>
            <m:sty m:val="p"/>
          </m:rPr>
          <m:t>,</m:t>
        </m:r>
        <m:r>
          <m:rPr>
            <m:sty m:val="p"/>
          </m:rPr>
          <m:t>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et </w:t>
      </w:r>
      <m:oMath>
        <m:sSub>
          <m:sSubPr/>
          <m:e>
            <m:r>
              <m:rPr>
                <m:sty m:val="i"/>
              </m:rPr>
              <m:t>V</m:t>
            </m:r>
          </m:e>
          <m:sub>
            <m:r>
              <m:rPr>
                <m:sty m:val="i"/>
              </m:rPr>
              <m:t>p</m:t>
            </m:r>
          </m:sub>
        </m:sSub>
        <m:r>
          <m:rPr>
            <m:sty m:val="p"/>
          </m:rPr>
          <m:t>=</m:t>
        </m:r>
        <m:r>
          <m:rPr>
            <m:sty m:val="p"/>
          </m:rPr>
          <m:t>20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sont reproduites sur les figures A et B du document-réponse. Ces courbes sont accompagnées des portraits de phase du système, pour lesquels on représente </w:t>
      </w:r>
      <m:oMath>
        <m:sSub>
          <m:sSubPr/>
          <m:e>
            <m:r>
              <m:rPr>
                <m:sty m:val="i"/>
              </m:rPr>
              <m:t>v</m:t>
            </m:r>
          </m:e>
          <m:sub>
            <m:r>
              <m:rPr>
                <m:sty m:val="i"/>
              </m:rPr>
              <m:t>L</m:t>
            </m:r>
          </m:sub>
        </m:sSub>
        <m:d>
          <m:dPr>
            <m:begChr m:val="("/>
            <m:endChr m:val=")"/>
            <m:ctrlPr>
              <w:rPr>
                <w:rFonts w:ascii="Cambria Math" w:hAnsi="Cambria Math"/>
              </w:rPr>
            </m:ctrlPr>
          </m:dPr>
          <m:e>
            <m:sSup>
              <m:sSupPr/>
              <m:e>
                <m:r>
                  <m:rPr>
                    <m:sty m:val="i"/>
                  </m:rPr>
                  <m:t>t</m:t>
                </m:r>
              </m:e>
              <m:sup>
                <m:r>
                  <m:rPr>
                    <m:sty m:val="i"/>
                  </m:rPr>
                  <m:t>′</m:t>
                </m:r>
              </m:sup>
            </m:sSup>
          </m:e>
        </m:d>
        <m:r>
          <m:rPr>
            <m:sty m:val="p"/>
          </m:rPr>
          <m:t>=</m:t>
        </m:r>
        <m:f>
          <m:fPr>
            <m:ctrlPr>
              <w:rPr>
                <w:rFonts w:ascii="Cambria Math" w:hAnsi="Cambria Math"/>
              </w:rPr>
            </m:ctrlPr>
          </m:fPr>
          <m:num>
            <m:r>
              <m:rPr>
                <m:sty m:val="p"/>
              </m:rPr>
              <m:t>d</m:t>
            </m:r>
            <m:sSub>
              <m:sSubPr/>
              <m:e>
                <m:r>
                  <m:rPr>
                    <m:sty m:val="i"/>
                  </m:rPr>
                  <m:t>x</m:t>
                </m:r>
              </m:e>
              <m:sub>
                <m:r>
                  <m:rPr>
                    <m:sty m:val="i"/>
                  </m:rPr>
                  <m:t>L</m:t>
                </m:r>
              </m:sub>
            </m:sSub>
          </m:num>
          <m:den>
            <m:r>
              <m:rPr>
                <m:nor/>
              </m:rPr>
              <m:t xml:space="preserve"> </m:t>
            </m:r>
            <m:r>
              <m:rPr>
                <m:sty m:val="p"/>
              </m:rPr>
              <m:t>d</m:t>
            </m:r>
            <m:sSup>
              <m:sSupPr/>
              <m:e>
                <m:r>
                  <m:rPr>
                    <m:sty m:val="i"/>
                  </m:rPr>
                  <m:t>t</m:t>
                </m:r>
              </m:e>
              <m:sup>
                <m:r>
                  <m:rPr>
                    <m:sty m:val="i"/>
                  </m:rPr>
                  <m:t>′</m:t>
                </m:r>
              </m:sup>
            </m:sSup>
          </m:den>
        </m:f>
        <m:d>
          <m:dPr>
            <m:begChr m:val="("/>
            <m:endChr m:val=")"/>
            <m:ctrlPr>
              <w:rPr>
                <w:rFonts w:ascii="Cambria Math" w:hAnsi="Cambria Math"/>
              </w:rPr>
            </m:ctrlPr>
          </m:dPr>
          <m:e>
            <m:sSup>
              <m:sSupPr/>
              <m:e>
                <m:r>
                  <m:rPr>
                    <m:sty m:val="i"/>
                  </m:rPr>
                  <m:t>t</m:t>
                </m:r>
              </m:e>
              <m:sup>
                <m:r>
                  <m:rPr>
                    <m:sty m:val="i"/>
                  </m:rPr>
                  <m:t>′</m:t>
                </m:r>
              </m:sup>
            </m:sSup>
          </m:e>
        </m:d>
      </m:oMath>
      <w:r>
        <w:rPr/>
        <w:t xml:space="preserve"> en fonction de </w:t>
      </w:r>
      <m:oMath>
        <m:r>
          <m:rPr>
            <m:sty m:val="i"/>
          </m:rPr>
          <m:t>ℓ</m:t>
        </m:r>
        <m:d>
          <m:dPr>
            <m:begChr m:val="("/>
            <m:endChr m:val=")"/>
            <m:ctrlPr>
              <w:rPr>
                <w:rFonts w:ascii="Cambria Math" w:hAnsi="Cambria Math"/>
              </w:rPr>
            </m:ctrlPr>
          </m:dPr>
          <m:e>
            <m:sSup>
              <m:sSupPr/>
              <m:e>
                <m:r>
                  <m:rPr>
                    <m:sty m:val="i"/>
                  </m:rPr>
                  <m:t>t</m:t>
                </m:r>
              </m:e>
              <m:sup>
                <m:r>
                  <m:rPr>
                    <m:sty m:val="i"/>
                  </m:rPr>
                  <m:t>′</m:t>
                </m:r>
              </m:sup>
            </m:sSup>
          </m:e>
        </m:d>
        <m:r>
          <m:rPr>
            <m:sty m:val="p"/>
          </m:rPr>
          <m:t>−</m:t>
        </m:r>
        <m:sSub>
          <m:sSubPr/>
          <m:e>
            <m:r>
              <m:rPr>
                <m:sty m:val="i"/>
              </m:rPr>
              <m:t>ℓ</m:t>
            </m:r>
          </m:e>
          <m:sub>
            <m:r>
              <m:rPr>
                <m:sty m:val="p"/>
              </m:rPr>
              <m:t>0</m:t>
            </m:r>
          </m:sub>
        </m:sSub>
      </m:oMath>
      <w:r>
        <w:rPr/>
        <w:t xml:space="preserve">.</w:t>
      </w:r>
      <w:r>
        <w:rPr/>
        <w:br w:type="textWrapping"/>
      </w:r>
      <w:r>
        <w:rPr>
          <w:rFonts w:eastAsia="Georgia" w:cs="Georgia" w:ascii="Georgia" w:hAnsi="Georgia"/>
        </w:rPr>
        <w:t xml:space="preserve">a) Faire apparaitre, sur chacun des deux portraits de phase du document-réponse, le point représentatif de l'instant </w:t>
      </w:r>
      <m:oMath>
        <m:sSup>
          <m:sSupPr/>
          <m:e>
            <m:r>
              <m:rPr>
                <m:sty m:val="i"/>
              </m:rPr>
              <m:t>t</m:t>
            </m:r>
          </m:e>
          <m:sup>
            <m:r>
              <m:rPr>
                <m:sty m:val="i"/>
              </m:rPr>
              <m:t>′</m:t>
            </m:r>
          </m:sup>
        </m:sSup>
        <m:r>
          <m:rPr>
            <m:sty m:val="p"/>
          </m:rPr>
          <m:t>=</m:t>
        </m:r>
        <m:r>
          <m:rPr>
            <m:sty m:val="p"/>
          </m:rPr>
          <m:t>0</m:t>
        </m:r>
      </m:oMath>
      <w:r>
        <w:rPr/>
        <w:t xml:space="preserve">. Indiquer, en le justifiant, quel est le sens de parcours de ces portraits de phase.</w:t>
      </w:r>
      <w:r>
        <w:rPr/>
        <w:br w:type="textWrapping"/>
      </w:r>
      <w:r>
        <w:rPr>
          <w:rFonts w:eastAsia="Georgia" w:cs="Georgia" w:ascii="Georgia" w:hAnsi="Georgia"/>
        </w:rPr>
        <w:t xml:space="preserve">b) En justifiant votre raisonnement par des considérations graphiques précises, indiquer, pour chacune des deux vitesses de pelage, si la phase de slip perdure indéfiniment ou si elle cesse à un instant </w:t>
      </w:r>
      <m:oMath>
        <m:sSubSup>
          <m:sSubSupPr/>
          <m:e>
            <m:r>
              <m:rPr>
                <m:sty m:val="i"/>
              </m:rPr>
              <m:t>t</m:t>
            </m:r>
          </m:e>
          <m:sub>
            <m:r>
              <m:rPr>
                <m:sty m:val="p"/>
              </m:rPr>
              <m:t>1</m:t>
            </m:r>
          </m:sub>
          <m:sup>
            <m:r>
              <m:rPr>
                <m:sty m:val="i"/>
              </m:rPr>
              <m:t>′</m:t>
            </m:r>
          </m:sup>
        </m:sSubSup>
      </m:oMath>
      <w:r>
        <w:rPr/>
        <w:t xml:space="preserve"> que l'on identifiera clairement sur les courbes.</w:t>
      </w:r>
      <w:r>
        <w:rPr/>
        <w:br w:type="textWrapping"/>
      </w:r>
      <w:r>
        <w:rPr>
          <w:rFonts w:eastAsia="Georgia" w:cs="Georgia" w:ascii="Georgia" w:hAnsi="Georgia"/>
        </w:rPr>
        <w:t xml:space="preserve">c) Dans le(s) cas où la phase de slip cesse, représenter (directement sur les figures A et/ou B du document réponse) l'allure de la solution physique </w:t>
      </w:r>
      <m:oMath>
        <m:sSub>
          <m:sSubPr/>
          <m:e>
            <m:r>
              <m:rPr>
                <m:sty m:val="i"/>
              </m:rPr>
              <m:t>x</m:t>
            </m:r>
          </m:e>
          <m:sub>
            <m:r>
              <m:rPr>
                <m:sty m:val="i"/>
              </m:rPr>
              <m:t>L</m:t>
            </m:r>
          </m:sub>
        </m:sSub>
        <m:d>
          <m:dPr>
            <m:begChr m:val="("/>
            <m:endChr m:val=")"/>
            <m:ctrlPr>
              <w:rPr>
                <w:rFonts w:ascii="Cambria Math" w:hAnsi="Cambria Math"/>
              </w:rPr>
            </m:ctrlPr>
          </m:dPr>
          <m:e>
            <m:sSup>
              <m:sSupPr/>
              <m:e>
                <m:r>
                  <m:rPr>
                    <m:sty m:val="i"/>
                  </m:rPr>
                  <m:t>t</m:t>
                </m:r>
              </m:e>
              <m:sup>
                <m:r>
                  <m:rPr>
                    <m:sty m:val="i"/>
                  </m:rPr>
                  <m:t>′</m:t>
                </m:r>
              </m:sup>
            </m:sSup>
          </m:e>
        </m:d>
      </m:oMath>
      <w:r>
        <w:rPr>
          <w:rFonts w:eastAsia="Georgia" w:cs="Georgia" w:ascii="Georgia" w:hAnsi="Georgia"/>
        </w:rPr>
        <w:t xml:space="preserve"> réellement obtenue et du portrait de phase associé.</w:t>
      </w:r>
    </w:p>
    <w:p>
      <w:pPr>
        <w:spacing w:line="271" w:before="330" w:lineRule="auto"/>
      </w:pPr>
      <w:r>
        <w:rPr>
          <w:rFonts w:eastAsia="Georgia" w:cs="Georgia" w:ascii="Georgia" w:hAnsi="Georgia"/>
          <w:b/>
          <w:sz w:val="42"/>
        </w:rPr>
        <w:t xml:space="preserve">II Préparation du substrat préalablement à l'essai de pelage</w:t>
      </w:r>
    </w:p>
    <w:p>
      <w:pPr>
        <w:spacing w:after="220" w:lineRule="auto"/>
      </w:pPr>
      <w:r>
        <w:rPr>
          <w:rFonts w:eastAsia="Georgia" w:cs="Georgia" w:ascii="Georgia" w:hAnsi="Georgia"/>
        </w:rPr>
        <w:t xml:space="preserve">Quel que soit le type de colle à déposer (y compris celle présente sur le ruban adhésif) et le type de surface ciblée, on ne peut obtenir une force d'adhérence élevée et stable dans le temps qu'après un traitement chimique préalable. Cela est particulièrement vrai pour les métaux pour lesquels le défaut de force d'adhérence provient généralement de la fine couche d'oxyde ou bien de lubrifiants, d'huile de coupe, de graisse d'étirage, etc. dus au procédé de fabrication, présente à la surface de la plupart des métaux.</w:t>
      </w:r>
      <w:r>
        <w:rPr/>
        <w:br w:type="textWrapping"/>
      </w:r>
      <w:r>
        <w:rPr>
          <w:rFonts w:eastAsia="Georgia" w:cs="Georgia" w:ascii="Georgia" w:hAnsi="Georgia"/>
        </w:rPr>
        <w:t xml:space="preserve">Un traitement particulièrement simple et encore très souvent utilisé consiste à attaquer le métal avec un acide. Ainsi, les atomes de surface sont oxydés et partent en solution entrainant avec eux les oxydes et autres impuretés.</w:t>
      </w:r>
    </w:p>
    <w:p>
      <w:pPr>
        <w:spacing w:line="271" w:before="330" w:lineRule="auto"/>
      </w:pPr>
      <w:r>
        <w:rPr>
          <w:rFonts w:eastAsia="Georgia" w:cs="Georgia" w:ascii="Georgia" w:hAnsi="Georgia"/>
          <w:b/>
          <w:sz w:val="42"/>
        </w:rPr>
        <w:t xml:space="preserve">II.A - Comparaison de différents acides minéraux</w:t>
      </w:r>
    </w:p>
    <w:p>
      <w:pPr>
        <w:spacing w:after="220" w:lineRule="auto"/>
      </w:pPr>
      <w:r>
        <w:rPr/>
        <w:t xml:space="preserve">Dans cette partie on va comparer trois acides forts: les acides chlorhydrique ( HCl en solution dans l'eau), sulfurique ( </w:t>
      </w:r>
      <m:oMath>
        <m:sSub>
          <m:sSubPr/>
          <m:e>
            <m:r>
              <m:rPr>
                <m:sty m:val="p"/>
              </m:rPr>
              <m:t>H</m:t>
            </m:r>
          </m:e>
          <m:sub>
            <m:r>
              <m:rPr>
                <m:sty m:val="p"/>
              </m:rPr>
              <m:t>2</m:t>
            </m:r>
          </m:sub>
        </m:sSub>
        <m:sSub>
          <m:sSubPr/>
          <m:e>
            <m:r>
              <m:rPr>
                <m:sty m:val="p"/>
              </m:rPr>
              <m:t>SO</m:t>
            </m:r>
          </m:e>
          <m:sub>
            <m:r>
              <m:rPr>
                <m:sty m:val="p"/>
              </m:rPr>
              <m:t>4</m:t>
            </m:r>
          </m:sub>
        </m:sSub>
      </m:oMath>
      <w:r>
        <w:rPr/>
        <w:t xml:space="preserve"> en solution dans l'eau) et nitrique ( </w:t>
      </w:r>
      <m:oMath>
        <m:sSub>
          <m:sSubPr/>
          <m:e>
            <m:r>
              <m:rPr>
                <m:sty m:val="p"/>
              </m:rPr>
              <m:t>HNO</m:t>
            </m:r>
          </m:e>
          <m:sub>
            <m:r>
              <m:rPr>
                <m:sty m:val="p"/>
              </m:rPr>
              <m:t>3</m:t>
            </m:r>
          </m:sub>
        </m:sSub>
      </m:oMath>
      <w:r>
        <w:rPr>
          <w:rFonts w:eastAsia="Georgia" w:cs="Georgia" w:ascii="Georgia" w:hAnsi="Georgia"/>
        </w:rPr>
        <w:t xml:space="preserve"> en solution dans l'eau) en vue de décaper localement une surface métallique. Les données numériques utiles sont regroupées à la fin de l'énoncé.</w:t>
      </w:r>
      <w:r>
        <w:rPr/>
        <w:br w:type="textWrapping"/>
      </w:r>
      <w:r>
        <w:rPr/>
        <w:t xml:space="preserve">II.A.1) Donner les structures de Lewis de HCl et de </w:t>
      </w:r>
      <m:oMath>
        <m:sSub>
          <m:sSubPr/>
          <m:e>
            <m:r>
              <m:rPr>
                <m:sty m:val="p"/>
              </m:rPr>
              <m:t>H</m:t>
            </m:r>
          </m:e>
          <m:sub>
            <m:r>
              <m:rPr>
                <m:sty m:val="p"/>
              </m:rPr>
              <m:t>2</m:t>
            </m:r>
          </m:sub>
        </m:sSub>
        <m:sSub>
          <m:sSubPr/>
          <m:e>
            <m:r>
              <m:rPr>
                <m:sty m:val="p"/>
              </m:rPr>
              <m:t>SO</m:t>
            </m:r>
          </m:e>
          <m:sub>
            <m:r>
              <m:rPr>
                <m:sty m:val="p"/>
              </m:rPr>
              <m:t>4</m:t>
            </m:r>
          </m:sub>
        </m:sSub>
      </m:oMath>
      <w:r>
        <w:rPr>
          <w:rFonts w:eastAsia="Georgia" w:cs="Georgia" w:ascii="Georgia" w:hAnsi="Georgia"/>
        </w:rPr>
        <w:t xml:space="preserve"> sachant que l'élément soufre est situé en dessous de l'élément oxygène dans la classification périodique.</w:t>
      </w:r>
      <w:r>
        <w:rPr/>
        <w:br w:type="textWrapping"/>
      </w:r>
      <w:r>
        <w:rPr>
          <w:rFonts w:eastAsia="Georgia" w:cs="Georgia" w:ascii="Georgia" w:hAnsi="Georgia"/>
        </w:rPr>
        <w:t xml:space="preserve">II.A.2) On souhaite décaper une surface de cuivre (c'est-à-dire éliminer une partie des atomes de cuivre </w:t>
      </w:r>
      <m:oMath>
        <m:sSub>
          <m:sSubPr/>
          <m:e>
            <m:r>
              <m:rPr>
                <m:sty m:val="p"/>
              </m:rPr>
              <m:t>Cu</m:t>
            </m:r>
          </m:e>
          <m:sub>
            <m:r>
              <m:rPr>
                <m:sty m:val="p"/>
              </m:rPr>
              <m:t>(</m:t>
            </m:r>
            <m:r>
              <m:rPr>
                <m:sty m:val="p"/>
              </m:rPr>
              <m:t>s</m:t>
            </m:r>
            <m:r>
              <m:rPr>
                <m:sty m:val="p"/>
              </m:rPr>
              <m:t>)</m:t>
            </m:r>
          </m:sub>
        </m:sSub>
      </m:oMath>
      <w:r>
        <w:rPr>
          <w:rFonts w:eastAsia="Georgia" w:cs="Georgia" w:ascii="Georgia" w:hAnsi="Georgia"/>
        </w:rPr>
        <w:t xml:space="preserve"> à la surface du métal). Parmi les trois acides présentés ci-dessus, expliquer quel(s) acide(s) il est possible d'utiliser et le(s)quel(s) il n'est pas possible d'utiliser.</w:t>
      </w:r>
    </w:p>
    <w:p>
      <w:pPr>
        <w:spacing w:line="271" w:before="330" w:lineRule="auto"/>
      </w:pPr>
      <w:r>
        <w:rPr>
          <w:rFonts w:eastAsia="Georgia" w:cs="Georgia" w:ascii="Georgia" w:hAnsi="Georgia"/>
          <w:b/>
          <w:sz w:val="42"/>
        </w:rPr>
        <w:t xml:space="preserve">II.B - Étude d'une étape de la synthèse de l'acide sulfurique</w:t>
      </w:r>
    </w:p>
    <w:p>
      <w:pPr>
        <w:spacing w:after="220" w:lineRule="auto"/>
      </w:pPr>
      <w:r>
        <w:rPr>
          <w:rFonts w:eastAsia="Georgia" w:cs="Georgia" w:ascii="Georgia" w:hAnsi="Georgia"/>
        </w:rPr>
        <w:t xml:space="preserve">L'acide sulfurique est très souvent utilisé dans l'étape de décapage (parfois en combinaison avec de l'acide nitrique, du sulfate ferrique...). Il est obtenu industriellement par hydratation du trioxyde de soufre </w:t>
      </w:r>
      <m:oMath>
        <m:sSub>
          <m:sSubPr/>
          <m:e>
            <m:r>
              <m:rPr>
                <m:sty m:val="p"/>
              </m:rPr>
              <m:t>SO</m:t>
            </m:r>
          </m:e>
          <m:sub>
            <m:r>
              <m:rPr>
                <m:sty m:val="p"/>
              </m:rPr>
              <m:t>3</m:t>
            </m:r>
          </m:sub>
        </m:sSub>
      </m:oMath>
      <w:r>
        <w:rPr/>
        <w:t xml:space="preserve"> obtenu par oxydation de </w:t>
      </w:r>
      <m:oMath>
        <m:sSub>
          <m:sSubPr/>
          <m:e>
            <m:r>
              <m:rPr>
                <m:sty m:val="p"/>
              </m:rPr>
              <m:t>SO</m:t>
            </m:r>
          </m:e>
          <m:sub>
            <m:r>
              <m:rPr>
                <m:sty m:val="p"/>
              </m:rPr>
              <m:t>2</m:t>
            </m:r>
          </m:sub>
        </m:sSub>
      </m:oMath>
      <w:r>
        <w:rPr>
          <w:rFonts w:eastAsia="Georgia" w:cs="Georgia" w:ascii="Georgia" w:hAnsi="Georgia"/>
        </w:rPr>
        <w:t xml:space="preserve">, lui-même issu du traitement du soufre.</w:t>
      </w:r>
      <w:r>
        <w:rPr/>
        <w:br w:type="textWrapping"/>
      </w:r>
      <w:r>
        <w:rPr>
          <w:rFonts w:eastAsia="Georgia" w:cs="Georgia" w:ascii="Georgia" w:hAnsi="Georgia"/>
        </w:rPr>
        <w:t xml:space="preserve">On considère la réaction, à l'équilibre thermodynamique, d'équation :</w:t>
      </w:r>
    </w:p>
    <w:p>
      <w:pPr>
        <w:spacing w:after="220" w:lineRule="auto"/>
      </w:pPr>
      <m:oMathPara>
        <m:oMath>
          <m:sSub>
            <m:sSubPr/>
            <m:e>
              <m:r>
                <m:rPr>
                  <m:sty m:val="p"/>
                </m:rPr>
                <m:t>SO</m:t>
              </m:r>
            </m:e>
            <m:sub>
              <m:r>
                <m:rPr>
                  <m:sty m:val="p"/>
                </m:rPr>
                <m:t>2</m:t>
              </m:r>
              <m:r>
                <m:rPr>
                  <m:sty m:val="p"/>
                </m:rPr>
                <m:t>(</m:t>
              </m:r>
              <m:r>
                <m:rPr>
                  <m:nor/>
                </m:rPr>
                <m:t xml:space="preserve"> </m:t>
              </m:r>
              <m:r>
                <m:rPr>
                  <m:sty m:val="p"/>
                </m:rPr>
                <m:t>g</m:t>
              </m:r>
              <m:r>
                <m:rPr>
                  <m:sty m:val="p"/>
                </m:rPr>
                <m:t>)</m:t>
              </m:r>
            </m:sub>
          </m:sSub>
          <m:r>
            <m:rPr>
              <m:sty m:val="p"/>
            </m:rPr>
            <m:t>+</m:t>
          </m:r>
          <m:f>
            <m:fPr>
              <m:ctrlPr>
                <w:rPr>
                  <w:rFonts w:ascii="Cambria Math" w:hAnsi="Cambria Math"/>
                </w:rPr>
              </m:ctrlPr>
            </m:fPr>
            <m:num>
              <m:r>
                <m:rPr>
                  <m:sty m:val="p"/>
                </m:rPr>
                <m:t>1</m:t>
              </m:r>
            </m:num>
            <m:den>
              <m:r>
                <m:rPr>
                  <m:sty m:val="p"/>
                </m:rPr>
                <m:t>2</m:t>
              </m:r>
            </m:den>
          </m:f>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SO</m:t>
              </m:r>
            </m:e>
            <m:sub>
              <m:r>
                <m:rPr>
                  <m:sty m:val="p"/>
                </m:rPr>
                <m:t>3</m:t>
              </m:r>
              <m:r>
                <m:rPr>
                  <m:sty m:val="p"/>
                </m:rPr>
                <m:t>(</m:t>
              </m:r>
              <m:r>
                <m:rPr>
                  <m:nor/>
                </m:rPr>
                <m:t xml:space="preserve"> </m:t>
              </m:r>
              <m:r>
                <m:rPr>
                  <m:sty m:val="p"/>
                </m:rPr>
                <m:t>g</m:t>
              </m:r>
              <m:r>
                <m:rPr>
                  <m:sty m:val="p"/>
                </m:rPr>
                <m:t>)</m:t>
              </m:r>
            </m:sub>
          </m:sSub>
        </m:oMath>
      </m:oMathPara>
    </w:p>
    <w:p>
      <w:pPr>
        <w:spacing w:after="220" w:lineRule="auto"/>
      </w:pPr>
      <w:r>
        <w:rPr/>
        <w:t xml:space="preserve">Le taux de conversion </w:t>
      </w:r>
      <m:oMath>
        <m:r>
          <m:rPr>
            <m:sty m:val="i"/>
          </m:rPr>
          <m:t>α</m:t>
        </m:r>
      </m:oMath>
      <w:r>
        <w:rPr>
          <w:rFonts w:eastAsia="Georgia" w:cs="Georgia" w:ascii="Georgia" w:hAnsi="Georgia"/>
        </w:rPr>
        <w:t xml:space="preserve"> de cette réaction est défini par:</w:t>
      </w:r>
    </w:p>
    <w:p>
      <w:pPr>
        <w:spacing w:after="220" w:lineRule="auto"/>
      </w:pPr>
      <m:oMathPara>
        <m:oMath>
          <m:r>
            <m:rPr>
              <m:sty m:val="i"/>
            </m:rPr>
            <m:t>α</m:t>
          </m:r>
          <m:r>
            <m:rPr>
              <m:sty m:val="p"/>
            </m:rPr>
            <m:t>=</m:t>
          </m:r>
          <m:f>
            <m:fPr>
              <m:ctrlPr>
                <w:rPr>
                  <w:rFonts w:ascii="Cambria Math" w:hAnsi="Cambria Math"/>
                </w:rPr>
              </m:ctrlPr>
            </m:fPr>
            <m:num>
              <m:sSub>
                <m:sSubPr/>
                <m:e>
                  <m:r>
                    <m:rPr>
                      <m:sty m:val="i"/>
                    </m:rPr>
                    <m:t>n</m:t>
                  </m:r>
                </m:e>
                <m:sub>
                  <m:sSub>
                    <m:sSubPr/>
                    <m:e>
                      <m:r>
                        <m:rPr>
                          <m:sty m:val="p"/>
                        </m:rPr>
                        <m:t>SO</m:t>
                      </m:r>
                    </m:e>
                    <m:sub>
                      <m:r>
                        <m:rPr>
                          <m:sty m:val="p"/>
                        </m:rPr>
                        <m:t>3</m:t>
                      </m:r>
                    </m:sub>
                  </m:sSub>
                </m:sub>
              </m:sSub>
            </m:num>
            <m:den>
              <m:sSub>
                <m:sSubPr/>
                <m:e>
                  <m:r>
                    <m:rPr>
                      <m:sty m:val="i"/>
                    </m:rPr>
                    <m:t>n</m:t>
                  </m:r>
                </m:e>
                <m:sub>
                  <m:sSub>
                    <m:sSubPr/>
                    <m:e>
                      <m:r>
                        <m:rPr>
                          <m:sty m:val="p"/>
                        </m:rPr>
                        <m:t>SO</m:t>
                      </m:r>
                    </m:e>
                    <m:sub>
                      <m:r>
                        <m:rPr>
                          <m:sty m:val="p"/>
                        </m:rPr>
                        <m:t>3</m:t>
                      </m:r>
                    </m:sub>
                  </m:sSub>
                </m:sub>
              </m:sSub>
              <m:r>
                <m:rPr>
                  <m:sty m:val="p"/>
                </m:rPr>
                <m:t>+</m:t>
              </m:r>
              <m:sSub>
                <m:sSubPr/>
                <m:e>
                  <m:r>
                    <m:rPr>
                      <m:sty m:val="i"/>
                    </m:rPr>
                    <m:t>n</m:t>
                  </m:r>
                </m:e>
                <m:sub>
                  <m:sSub>
                    <m:sSubPr/>
                    <m:e>
                      <m:r>
                        <m:rPr>
                          <m:sty m:val="p"/>
                        </m:rPr>
                        <m:t>SO</m:t>
                      </m:r>
                    </m:e>
                    <m:sub>
                      <m:r>
                        <m:rPr>
                          <m:sty m:val="p"/>
                        </m:rPr>
                        <m:t>2</m:t>
                      </m:r>
                    </m:sub>
                  </m:sSub>
                </m:sub>
              </m:sSub>
            </m:den>
          </m:f>
        </m:oMath>
      </m:oMathPara>
    </w:p>
    <w:p>
      <w:pPr>
        <w:spacing w:after="220" w:lineRule="auto"/>
      </w:pPr>
      <w:r>
        <w:rPr>
          <w:rFonts w:eastAsia="Georgia" w:cs="Georgia" w:ascii="Georgia" w:hAnsi="Georgia"/>
        </w:rPr>
        <w:t xml:space="preserve">La composition du système est systématiquement donnée en fraction molaire.</w:t>
      </w:r>
    </w:p>
    <w:p>
      <w:pPr>
        <w:spacing w:line="271" w:before="330" w:lineRule="auto"/>
      </w:pPr>
      <w:r>
        <w:rPr>
          <w:rFonts w:eastAsia="Georgia" w:cs="Georgia" w:ascii="Georgia" w:hAnsi="Georgia"/>
          <w:b/>
          <w:sz w:val="42"/>
        </w:rPr>
        <w:t xml:space="preserve">II.B.1) Optimisation des conditions expérimentales</w:t>
      </w:r>
    </w:p>
    <w:p>
      <w:pPr>
        <w:spacing w:after="220" w:lineRule="auto"/>
      </w:pPr>
      <w:r>
        <w:rPr>
          <w:rFonts w:eastAsia="Georgia" w:cs="Georgia" w:ascii="Georgia" w:hAnsi="Georgia"/>
        </w:rPr>
        <w:t xml:space="preserve">Les figures 4,5 et 6 présentent l'évolution du taux de conversion en fonction de la température pour différentes conditions opératoires. En analysant chacune de ces figures, proposer un ensemble de conditions opératoires permettant d'optimiser le taux de conversion de la réaction d'oxydation du dioxyde de soufre.</w:t>
      </w:r>
    </w:p>
    <w:p>
      <w:pPr>
        <w:spacing w:lineRule="auto"/>
      </w:pPr>
      <w:r>
        <w:rPr/>
        <w:t xml:space="preserve">Composition initiale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N</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SO</m:t>
                    </m:r>
                  </m:e>
                  <m:sub>
                    <m:r>
                      <m:rPr>
                        <m:sty m:val="p"/>
                      </m:rPr>
                      <m:t>2</m:t>
                    </m:r>
                  </m:sub>
                </m:sSub>
                <m:r>
                  <m:rPr>
                    <m:sty m:val="p"/>
                  </m:rPr>
                  <m:t>(</m:t>
                </m:r>
                <m:r>
                  <m:rPr>
                    <m:nor/>
                  </m:rPr>
                  <m:t xml:space="preserve"> </m:t>
                </m:r>
                <m:r>
                  <m:rPr>
                    <m:sty m:val="p"/>
                  </m:rPr>
                  <m:t>g</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9</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79</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12</m:t>
                </m:r>
                <m:r>
                  <m:rPr>
                    <m:sty m:val="p"/>
                  </m:rPr>
                  <m:t>%</m:t>
                </m:r>
              </m:oMath>
            </m:oMathPara>
          </w:p>
        </w:tc>
      </w:tr>
    </w:tbl>
    <w:p>
      <w:pPr>
        <w:spacing w:lineRule="auto"/>
      </w:pPr>
    </w:p>
    <w:p>
      <w:pPr>
        <w:spacing w:lineRule="auto"/>
        <w:jc w:val="center"/>
      </w:pPr>
      <w:r>
        <w:rPr/>
        <w:drawing>
          <wp:inline distB="0" distL="0" distR="0" distT="0">
            <wp:extent cx="5486400" cy="3649094"/>
            <wp:effectExtent b="0" l="0" r="0" t="0"/>
            <wp:docPr id="4" name="image-8215e61cf940eab179e6865821193431a67314db.jpg"/>
            <a:graphic>
              <a:graphicData uri="http://schemas.openxmlformats.org/drawingml/2006/picture">
                <pic:pic>
                  <pic:nvPicPr>
                    <pic:cNvPr id="4" name="image-8215e61cf940eab179e6865821193431a67314db.jpg" descr=""/>
                    <pic:cNvPicPr/>
                  </pic:nvPicPr>
                  <pic:blipFill>
                    <a:blip r:embed="rId8" cstate="print"/>
                    <a:srcRect b="0" l="0" r="0" t="0"/>
                    <a:stretch>
                      <a:fillRect/>
                    </a:stretch>
                  </pic:blipFill>
                  <pic:spPr>
                    <a:xfrm>
                      <a:off x="0" y="0"/>
                      <a:ext cx="5486400" cy="3649094"/>
                    </a:xfrm>
                    <a:prstGeom prst="rect"/>
                  </pic:spPr>
                </pic:pic>
              </a:graphicData>
            </a:graphic>
          </wp:inline>
        </w:drawing>
      </w:r>
    </w:p>
    <w:p>
      <w:pPr>
        <w:spacing w:lineRule="auto"/>
      </w:pPr>
      <w:r>
        <w:rPr/>
        <w:t xml:space="preserve">Figure 4 Influence de la pression</w:t>
      </w:r>
    </w:p>
    <w:p>
      <w:pPr>
        <w:spacing w:lineRule="auto"/>
        <w:jc w:val="center"/>
      </w:pPr>
      <w:r>
        <w:rPr/>
        <w:drawing>
          <wp:inline distB="0" distL="0" distR="0" distT="0">
            <wp:extent cx="5486400" cy="2436528"/>
            <wp:effectExtent b="0" l="0" r="0" t="0"/>
            <wp:docPr id="5" name="image-10d01ec93291c41af3227883f15af5575aaf1a81.jpg"/>
            <a:graphic>
              <a:graphicData uri="http://schemas.openxmlformats.org/drawingml/2006/picture">
                <pic:pic>
                  <pic:nvPicPr>
                    <pic:cNvPr id="5" name="image-10d01ec93291c41af3227883f15af5575aaf1a81.jpg" descr=""/>
                    <pic:cNvPicPr/>
                  </pic:nvPicPr>
                  <pic:blipFill>
                    <a:blip r:embed="rId9" cstate="print"/>
                    <a:srcRect b="0" l="0" r="0" t="0"/>
                    <a:stretch>
                      <a:fillRect/>
                    </a:stretch>
                  </pic:blipFill>
                  <pic:spPr>
                    <a:xfrm>
                      <a:off x="0" y="0"/>
                      <a:ext cx="5486400" cy="2436528"/>
                    </a:xfrm>
                    <a:prstGeom prst="rect"/>
                  </pic:spPr>
                </pic:pic>
              </a:graphicData>
            </a:graphic>
          </wp:inline>
        </w:drawing>
      </w:r>
    </w:p>
    <w:p>
      <w:pPr>
        <w:spacing w:lineRule="auto"/>
      </w:pPr>
      <w:r>
        <w:rPr/>
        <w:t xml:space="preserve">Figure 5 Proportion initiale de </w:t>
      </w:r>
      <m:oMath>
        <m:sSub>
          <m:sSubPr/>
          <m:e>
            <m:r>
              <m:rPr>
                <m:sty m:val="p"/>
              </m:rPr>
              <m:t>N</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et pression fixées</w:t>
      </w:r>
    </w:p>
    <w:p>
      <w:pPr>
        <w:spacing w:lineRule="auto"/>
        <w:jc w:val="center"/>
      </w:pPr>
      <w:r>
        <w:rPr/>
        <w:drawing>
          <wp:inline distB="0" distL="0" distR="0" distT="0">
            <wp:extent cx="5486400" cy="2437273"/>
            <wp:effectExtent b="0" l="0" r="0" t="0"/>
            <wp:docPr id="6" name="image-b79b5f9488c426334319b5300ec343b693ee1fda.jpg"/>
            <a:graphic>
              <a:graphicData uri="http://schemas.openxmlformats.org/drawingml/2006/picture">
                <pic:pic>
                  <pic:nvPicPr>
                    <pic:cNvPr id="6" name="image-b79b5f9488c426334319b5300ec343b693ee1fda.jpg" descr=""/>
                    <pic:cNvPicPr/>
                  </pic:nvPicPr>
                  <pic:blipFill>
                    <a:blip r:embed="rId10" cstate="print"/>
                    <a:srcRect b="0" l="0" r="0" t="0"/>
                    <a:stretch>
                      <a:fillRect/>
                    </a:stretch>
                  </pic:blipFill>
                  <pic:spPr>
                    <a:xfrm>
                      <a:off x="0" y="0"/>
                      <a:ext cx="5486400" cy="2437273"/>
                    </a:xfrm>
                    <a:prstGeom prst="rect"/>
                  </pic:spPr>
                </pic:pic>
              </a:graphicData>
            </a:graphic>
          </wp:inline>
        </w:drawing>
      </w:r>
    </w:p>
    <w:p>
      <w:pPr>
        <w:spacing w:lineRule="auto"/>
      </w:pPr>
      <w:r>
        <w:rPr/>
        <w:t xml:space="preserve">Figure 6 Proportion initiale de </w:t>
      </w:r>
      <m:oMath>
        <m:sSub>
          <m:sSubPr/>
          <m:e>
            <m:r>
              <m:rPr>
                <m:sty m:val="p"/>
              </m:rPr>
              <m:t>SO</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et pression fixées</w:t>
      </w:r>
    </w:p>
    <w:p>
      <w:pPr>
        <w:spacing w:line="271" w:before="330" w:lineRule="auto"/>
      </w:pPr>
      <w:r>
        <w:rPr>
          <w:rFonts w:eastAsia="Georgia" w:cs="Georgia" w:ascii="Georgia" w:hAnsi="Georgia"/>
          <w:b/>
          <w:sz w:val="42"/>
        </w:rPr>
        <w:t xml:space="preserve">II.B.2) Choix de la température - Approche théorique</w:t>
      </w:r>
    </w:p>
    <w:p>
      <w:pPr>
        <w:spacing w:after="220" w:lineRule="auto"/>
      </w:pPr>
      <w:r>
        <w:rPr>
          <w:rFonts w:eastAsia="Georgia" w:cs="Georgia" w:ascii="Georgia" w:hAnsi="Georgia"/>
        </w:rPr>
        <w:t xml:space="preserve">Dans la suite de cette partie, on se place dans l'approximation d'Ellingham, c'est-à-dire que les variations de l'enthalpie standard de réaction et de l'entropie standard de réaction avec la température sont supposées négligeables.</w:t>
      </w:r>
      <w:r>
        <w:rPr/>
        <w:br w:type="textWrapping"/>
      </w:r>
      <w:r>
        <w:rPr>
          <w:rFonts w:eastAsia="Georgia" w:cs="Georgia" w:ascii="Georgia" w:hAnsi="Georgia"/>
        </w:rPr>
        <w:t xml:space="preserve">a) Montrer que la constante d'équilibre </w:t>
      </w:r>
      <m:oMath>
        <m:r>
          <m:rPr>
            <m:sty m:val="i"/>
          </m:rPr>
          <m:t>K</m:t>
        </m:r>
      </m:oMath>
      <w:r>
        <w:rPr>
          <w:rFonts w:eastAsia="Georgia" w:cs="Georgia" w:ascii="Georgia" w:hAnsi="Georgia"/>
        </w:rPr>
        <w:t xml:space="preserve"> de la réaction (II.1) vérifie la loi </w:t>
      </w:r>
      <m:oMath>
        <m:r>
          <m:rPr>
            <m:sty m:val="p"/>
          </m:rPr>
          <m:t>ln</m:t>
        </m:r>
        <m:r>
          <m:rPr>
            <m:sty m:val="p"/>
          </m:rPr>
          <m:t>⁡</m:t>
        </m:r>
        <m:r>
          <m:rPr>
            <m:sty m:val="i"/>
          </m:rPr>
          <m:t>K</m:t>
        </m:r>
        <m:r>
          <m:rPr>
            <m:sty m:val="p"/>
          </m:rPr>
          <m:t>=</m:t>
        </m:r>
        <m:sSub>
          <m:sSubPr/>
          <m:e>
            <m:r>
              <m:rPr>
                <m:sty m:val="i"/>
              </m:rPr>
              <m:t>k</m:t>
            </m:r>
          </m:e>
          <m:sub>
            <m:r>
              <m:rPr>
                <m:sty m:val="p"/>
              </m:rPr>
              <m:t>1</m:t>
            </m:r>
          </m:sub>
        </m:sSub>
        <m:r>
          <m:rPr>
            <m:sty m:val="p"/>
          </m:rPr>
          <m:t>+</m:t>
        </m:r>
        <m:f>
          <m:fPr>
            <m:ctrlPr>
              <w:rPr>
                <w:rFonts w:ascii="Cambria Math" w:hAnsi="Cambria Math"/>
              </w:rPr>
            </m:ctrlPr>
          </m:fPr>
          <m:num>
            <m:sSub>
              <m:sSubPr/>
              <m:e>
                <m:r>
                  <m:rPr>
                    <m:sty m:val="i"/>
                  </m:rPr>
                  <m:t>k</m:t>
                </m:r>
              </m:e>
              <m:sub>
                <m:r>
                  <m:rPr>
                    <m:sty m:val="p"/>
                  </m:rPr>
                  <m:t>2</m:t>
                </m:r>
              </m:sub>
            </m:sSub>
          </m:num>
          <m:den>
            <m:r>
              <m:rPr>
                <m:sty m:val="i"/>
              </m:rPr>
              <m:t>T</m:t>
            </m:r>
          </m:den>
        </m:f>
      </m:oMath>
      <w:r>
        <w:rPr>
          <w:rFonts w:eastAsia="Georgia" w:cs="Georgia" w:ascii="Georgia" w:hAnsi="Georgia"/>
        </w:rPr>
        <w:t xml:space="preserve"> où </w:t>
      </w:r>
      <m:oMath>
        <m:r>
          <m:rPr>
            <m:sty m:val="i"/>
          </m:rPr>
          <m:t>T</m:t>
        </m:r>
      </m:oMath>
      <w:r>
        <w:rPr>
          <w:rFonts w:eastAsia="Georgia" w:cs="Georgia" w:ascii="Georgia" w:hAnsi="Georgia"/>
        </w:rPr>
        <w:t xml:space="preserve"> est la température du milieu exprimée en kelvin.</w:t>
      </w:r>
      <w:r>
        <w:rPr/>
        <w:br w:type="textWrapping"/>
      </w:r>
      <w:r>
        <w:rPr>
          <w:rFonts w:eastAsia="Georgia" w:cs="Georgia" w:ascii="Georgia" w:hAnsi="Georgia"/>
        </w:rPr>
        <w:t xml:space="preserve">b) Préciser les valeurs numériques de </w:t>
      </w:r>
      <m:oMath>
        <m:sSub>
          <m:sSubPr/>
          <m:e>
            <m:r>
              <m:rPr>
                <m:sty m:val="i"/>
              </m:rPr>
              <m:t>k</m:t>
            </m:r>
          </m:e>
          <m:sub>
            <m:r>
              <m:rPr>
                <m:sty m:val="p"/>
              </m:rPr>
              <m:t>1</m:t>
            </m:r>
          </m:sub>
        </m:sSub>
      </m:oMath>
      <w:r>
        <w:rPr/>
        <w:t xml:space="preserve"> et </w:t>
      </w:r>
      <m:oMath>
        <m:sSub>
          <m:sSubPr/>
          <m:e>
            <m:r>
              <m:rPr>
                <m:sty m:val="i"/>
              </m:rPr>
              <m:t>k</m:t>
            </m:r>
          </m:e>
          <m:sub>
            <m:r>
              <m:rPr>
                <m:sty m:val="p"/>
              </m:rPr>
              <m:t>2</m:t>
            </m:r>
          </m:sub>
        </m:sSub>
      </m:oMath>
      <w:r>
        <w:rPr/>
        <w:t xml:space="preserve">.</w:t>
      </w:r>
      <w:r>
        <w:rPr/>
        <w:br w:type="textWrapping"/>
      </w:r>
      <w:r>
        <w:rPr/>
        <w:t xml:space="preserve">c) Confronter l'expression de ln </w:t>
      </w:r>
      <m:oMath>
        <m:r>
          <m:rPr>
            <m:sty m:val="i"/>
          </m:rPr>
          <m:t>K</m:t>
        </m:r>
      </m:oMath>
      <w:r>
        <w:rPr>
          <w:rFonts w:eastAsia="Georgia" w:cs="Georgia" w:ascii="Georgia" w:hAnsi="Georgia"/>
        </w:rPr>
        <w:t xml:space="preserve"> au choix des paramètres d'optimisation du processus discuté précédemment.</w:t>
      </w:r>
    </w:p>
    <w:p>
      <w:pPr>
        <w:spacing w:line="271" w:before="330" w:lineRule="auto"/>
      </w:pPr>
      <w:r>
        <w:rPr>
          <w:rFonts w:eastAsia="Georgia" w:cs="Georgia" w:ascii="Georgia" w:hAnsi="Georgia"/>
          <w:b/>
          <w:sz w:val="42"/>
        </w:rPr>
        <w:t xml:space="preserve">II.B.3) Choix de la composition du système - Approche théorique</w:t>
      </w:r>
    </w:p>
    <w:p>
      <w:pPr>
        <w:spacing w:after="220" w:lineRule="auto"/>
      </w:pPr>
      <w:r>
        <w:rPr/>
        <w:t xml:space="preserve">a) Exprimer le taux de conversion </w:t>
      </w:r>
      <m:oMath>
        <m:r>
          <m:rPr>
            <m:sty m:val="i"/>
          </m:rPr>
          <m:t>α</m:t>
        </m:r>
      </m:oMath>
      <w:r>
        <w:rPr>
          <w:rFonts w:eastAsia="Georgia" w:cs="Georgia" w:ascii="Georgia" w:hAnsi="Georgia"/>
        </w:rPr>
        <w:t xml:space="preserve"> en fonction de la pression partielle en dioxygène du milieu </w:t>
      </w:r>
      <m:oMath>
        <m:sSub>
          <m:sSubPr/>
          <m:e>
            <m:r>
              <m:rPr>
                <m:sty m:val="i"/>
              </m:rPr>
              <m:t>P</m:t>
            </m:r>
          </m:e>
          <m:sub>
            <m:sSub>
              <m:sSubPr/>
              <m:e>
                <m:r>
                  <m:rPr>
                    <m:sty m:val="p"/>
                  </m:rPr>
                  <m:t>O</m:t>
                </m:r>
              </m:e>
              <m:sub>
                <m:r>
                  <m:rPr>
                    <m:sty m:val="p"/>
                  </m:rPr>
                  <m:t>2</m:t>
                </m:r>
              </m:sub>
            </m:sSub>
          </m:sub>
        </m:sSub>
      </m:oMath>
      <w:r>
        <w:rPr>
          <w:rFonts w:eastAsia="Georgia" w:cs="Georgia" w:ascii="Georgia" w:hAnsi="Georgia"/>
        </w:rPr>
        <w:t xml:space="preserve">, de la constante d'équilibre de la réaction </w:t>
      </w:r>
      <m:oMath>
        <m:r>
          <m:rPr>
            <m:sty m:val="i"/>
          </m:rPr>
          <m:t>K</m:t>
        </m:r>
      </m:oMath>
      <w:r>
        <w:rPr/>
        <w:t xml:space="preserve"> et de la pression standard </w:t>
      </w:r>
      <m:oMath>
        <m:sSup>
          <m:sSupPr/>
          <m:e>
            <m:r>
              <m:rPr>
                <m:sty m:val="i"/>
              </m:rPr>
              <m:t>P</m:t>
            </m:r>
          </m:e>
          <m:sup>
            <m:r>
              <m:rPr>
                <m:sty m:val="p"/>
              </m:rPr>
              <m:t>∘</m:t>
            </m:r>
          </m:sup>
        </m:sSup>
      </m:oMath>
      <w:r>
        <w:rPr/>
        <w:t xml:space="preserve">.</w:t>
      </w:r>
      <w:r>
        <w:rPr/>
        <w:br w:type="textWrapping"/>
      </w:r>
      <w:r>
        <w:rPr>
          <w:rFonts w:eastAsia="Georgia" w:cs="Georgia" w:ascii="Georgia" w:hAnsi="Georgia"/>
        </w:rPr>
        <w:t xml:space="preserve">b) Confronter l'expression obtenue au choix des paramètres d'optimisation du processus discuté précédemment.</w:t>
      </w:r>
      <w:r>
        <w:rPr/>
        <w:br w:type="textWrapping"/>
      </w:r>
      <w:r>
        <w:rPr>
          <w:rFonts w:eastAsia="Georgia" w:cs="Georgia" w:ascii="Georgia" w:hAnsi="Georgia"/>
        </w:rPr>
        <w:t xml:space="preserve">II.B.4) Pour déterminer s'il est préférable de travailler en présence de dioxygène pur ou d'air, on considère un système à l'équilibre auquel on ajoute une quantité </w:t>
      </w:r>
      <m:oMath>
        <m:r>
          <m:rPr>
            <m:sty m:val="p"/>
          </m:rPr>
          <m:t>d</m:t>
        </m:r>
        <m:sSub>
          <m:sSubPr/>
          <m:e>
            <m:r>
              <m:rPr>
                <m:sty m:val="i"/>
              </m:rPr>
              <m:t>n</m:t>
            </m:r>
          </m:e>
          <m:sub>
            <m:sSub>
              <m:sSubPr/>
              <m:e>
                <m:r>
                  <m:rPr>
                    <m:sty m:val="i"/>
                  </m:rPr>
                  <m:t>N</m:t>
                </m:r>
              </m:e>
              <m:sub>
                <m:r>
                  <m:rPr>
                    <m:sty m:val="p"/>
                  </m:rPr>
                  <m:t>2</m:t>
                </m:r>
              </m:sub>
            </m:sSub>
          </m:sub>
        </m:sSub>
      </m:oMath>
      <w:r>
        <w:rPr>
          <w:rFonts w:eastAsia="Georgia" w:cs="Georgia" w:ascii="Georgia" w:hAnsi="Georgia"/>
        </w:rPr>
        <w:t xml:space="preserve"> de diazote, tous les autres paramètres étant inchangés. Le système se retrouve alors dans un état hors équilibre caractérisé par un quotient de réaction </w:t>
      </w:r>
      <m:oMath>
        <m:r>
          <m:rPr>
            <m:sty m:val="i"/>
          </m:rPr>
          <m:t>Q</m:t>
        </m:r>
      </m:oMath>
      <w:r>
        <w:rPr/>
        <w:t xml:space="preserve">.</w:t>
      </w:r>
      <w:r>
        <w:rPr/>
        <w:br w:type="textWrapping"/>
      </w:r>
      <w:r>
        <w:rPr/>
        <w:t xml:space="preserve">a) Exprimer </w:t>
      </w:r>
      <m:oMath>
        <m:r>
          <m:rPr>
            <m:sty m:val="i"/>
          </m:rPr>
          <m:t>Q</m:t>
        </m:r>
      </m:oMath>
      <w:r>
        <w:rPr/>
        <w:t xml:space="preserve"> en fonction de la pression totale </w:t>
      </w:r>
      <m:oMath>
        <m:r>
          <m:rPr>
            <m:sty m:val="i"/>
          </m:rPr>
          <m:t>P</m:t>
        </m:r>
      </m:oMath>
      <w:r>
        <w:rPr/>
        <w:t xml:space="preserve">, de </w:t>
      </w:r>
      <m:oMath>
        <m:sSup>
          <m:sSupPr/>
          <m:e>
            <m:r>
              <m:rPr>
                <m:sty m:val="i"/>
              </m:rPr>
              <m:t>P</m:t>
            </m:r>
          </m:e>
          <m:sup>
            <m:r>
              <m:rPr>
                <m:sty m:val="p"/>
              </m:rPr>
              <m:t>∘</m:t>
            </m:r>
          </m:sup>
        </m:sSup>
      </m:oMath>
      <w:r>
        <w:rPr>
          <w:rFonts w:eastAsia="Georgia" w:cs="Georgia" w:ascii="Georgia" w:hAnsi="Georgia"/>
        </w:rPr>
        <w:t xml:space="preserve">, des quantités de matière à l'équilibre et de </w:t>
      </w:r>
      <m:oMath>
        <m:r>
          <m:rPr>
            <m:sty m:val="p"/>
          </m:rPr>
          <m:t>d</m:t>
        </m:r>
        <m:sSub>
          <m:sSubPr/>
          <m:e>
            <m:r>
              <m:rPr>
                <m:sty m:val="i"/>
              </m:rPr>
              <m:t>n</m:t>
            </m:r>
          </m:e>
          <m:sub>
            <m:r>
              <m:rPr>
                <m:sty m:val="p"/>
              </m:rPr>
              <m:t>N</m:t>
            </m:r>
            <m:r>
              <m:rPr>
                <m:sty m:val="p"/>
              </m:rPr>
              <m:t>2</m:t>
            </m:r>
          </m:sub>
        </m:sSub>
      </m:oMath>
      <w:r>
        <w:rPr/>
        <w:t xml:space="preserve">.</w:t>
      </w:r>
      <w:r>
        <w:rPr/>
        <w:br w:type="textWrapping"/>
      </w:r>
      <w:r>
        <w:rPr>
          <w:rFonts w:eastAsia="Georgia" w:cs="Georgia" w:ascii="Georgia" w:hAnsi="Georgia"/>
        </w:rPr>
        <w:t xml:space="preserve">b) En déduire le sens d'évolution du système hors équilibre suite à l'ajout de diazote à </w:t>
      </w:r>
      <m:oMath>
        <m:r>
          <m:rPr>
            <m:sty m:val="i"/>
          </m:rPr>
          <m:t>T</m:t>
        </m:r>
      </m:oMath>
      <w:r>
        <w:rPr/>
        <w:t xml:space="preserve"> et </w:t>
      </w:r>
      <m:oMath>
        <m:r>
          <m:rPr>
            <m:sty m:val="i"/>
          </m:rPr>
          <m:t>P</m:t>
        </m:r>
      </m:oMath>
      <w:r>
        <w:rPr>
          <w:rFonts w:eastAsia="Georgia" w:cs="Georgia" w:ascii="Georgia" w:hAnsi="Georgia"/>
        </w:rPr>
        <w:t xml:space="preserve"> fixés. Confronter ce résultat au choix des paramètres d'optimisation du processus discuté précédemment.</w:t>
      </w:r>
      <w:r>
        <w:rPr/>
        <w:br w:type="textWrapping"/>
      </w:r>
      <w:r>
        <w:rPr>
          <w:rFonts w:eastAsia="Georgia" w:cs="Georgia" w:ascii="Georgia" w:hAnsi="Georgia"/>
        </w:rPr>
        <w:t xml:space="preserve">c) Dans la pratique, le dioxygène pur n'est jamais utilisé. Proposer une explication.</w:t>
      </w:r>
    </w:p>
    <w:p>
      <w:pPr>
        <w:spacing w:line="271" w:before="330" w:lineRule="auto"/>
      </w:pPr>
      <w:r>
        <w:rPr>
          <w:rFonts w:eastAsia="Georgia" w:cs="Georgia" w:ascii="Georgia" w:hAnsi="Georgia"/>
          <w:b/>
          <w:sz w:val="42"/>
        </w:rPr>
        <w:t xml:space="preserve">III Mesure de la biréfringence d'un ruban adhésif</w:t>
      </w:r>
    </w:p>
    <w:p>
      <w:pPr>
        <w:spacing w:after="220" w:lineRule="auto"/>
      </w:pPr>
      <w:r>
        <w:rPr>
          <w:rFonts w:eastAsia="Georgia" w:cs="Georgia" w:ascii="Georgia" w:hAnsi="Georgia"/>
        </w:rPr>
        <w:t xml:space="preserve">Dans toute cette partie, l'air est assimilé au vide et on note </w:t>
      </w:r>
      <m:oMath>
        <m:r>
          <m:rPr>
            <m:sty m:val="i"/>
          </m:rPr>
          <m:t>c</m:t>
        </m:r>
      </m:oMath>
      <w:r>
        <w:rPr>
          <w:rFonts w:eastAsia="Georgia" w:cs="Georgia" w:ascii="Georgia" w:hAnsi="Georgia"/>
        </w:rPr>
        <w:t xml:space="preserve"> la célérité de la lumière dans le vide.</w:t>
      </w:r>
    </w:p>
    <w:p>
      <w:pPr>
        <w:spacing w:line="271" w:before="330" w:lineRule="auto"/>
      </w:pPr>
      <w:r>
        <w:rPr>
          <w:rFonts w:eastAsia="Georgia" w:cs="Georgia" w:ascii="Georgia" w:hAnsi="Georgia"/>
          <w:b/>
          <w:sz w:val="42"/>
        </w:rPr>
        <w:t xml:space="preserve">III.A - Préambule : Mesure d'une différence d'indice optique à l'aide d'un interféromètre de Mach-Zehnder</w:t>
      </w:r>
    </w:p>
    <w:p>
      <w:pPr>
        <w:spacing w:after="220" w:lineRule="auto"/>
      </w:pPr>
      <w:r>
        <w:rPr>
          <w:rFonts w:eastAsia="Georgia" w:cs="Georgia" w:ascii="Georgia" w:hAnsi="Georgia"/>
        </w:rPr>
        <w:t xml:space="preserve">On dispose de deux lames transparentes à faces parallèles, de même épaisseur </w:t>
      </w:r>
      <m:oMath>
        <m:r>
          <m:rPr>
            <m:sty m:val="i"/>
          </m:rPr>
          <m:t>e</m:t>
        </m:r>
      </m:oMath>
      <w:r>
        <w:rPr>
          <w:rFonts w:eastAsia="Georgia" w:cs="Georgia" w:ascii="Georgia" w:hAnsi="Georgia"/>
        </w:rPr>
        <w:t xml:space="preserve"> (connue avec précision) et d'indices optiques différents :</w:t>
      </w:r>
    </w:p>
    <w:p>
      <w:pPr>
        <w:numPr>
          <w:ilvl w:val="0"/>
          <w:numId w:val="2"/>
        </w:numPr>
        <w:spacing w:lineRule="auto"/>
      </w:pPr>
      <w:r>
        <w:rPr>
          <w:rFonts w:eastAsia="Georgia" w:cs="Georgia" w:ascii="Georgia" w:hAnsi="Georgia"/>
        </w:rPr>
        <w:t xml:space="preserve">une lame «de référence» </w:t>
      </w:r>
      <m:oMath>
        <m:d>
          <m:dPr>
            <m:begChr m:val="("/>
            <m:endChr m:val=")"/>
            <m:ctrlPr>
              <w:rPr>
                <w:rFonts w:ascii="Cambria Math" w:hAnsi="Cambria Math"/>
              </w:rPr>
            </m:ctrlPr>
          </m:dPr>
          <m:e>
            <m:sSub>
              <m:sSubPr/>
              <m:e>
                <m:r>
                  <m:rPr>
                    <m:scr m:val="script"/>
                  </m:rPr>
                  <m:t>L</m:t>
                </m:r>
              </m:e>
              <m:sub>
                <m:r>
                  <m:rPr>
                    <m:sty m:val="p"/>
                  </m:rPr>
                  <m:t>0</m:t>
                </m:r>
              </m:sub>
            </m:sSub>
          </m:e>
        </m:d>
      </m:oMath>
      <w:r>
        <w:rPr/>
        <w:t xml:space="preserve">, d'indice optique </w:t>
      </w:r>
      <m:oMath>
        <m:sSub>
          <m:sSubPr/>
          <m:e>
            <m:r>
              <m:rPr>
                <m:sty m:val="i"/>
              </m:rPr>
              <m:t>n</m:t>
            </m:r>
          </m:e>
          <m:sub>
            <m:r>
              <m:rPr>
                <m:sty m:val="p"/>
              </m:rPr>
              <m:t>0</m:t>
            </m:r>
          </m:sub>
        </m:sSub>
      </m:oMath>
      <w:r>
        <w:rPr/>
        <w:t xml:space="preserve"> connu;</w:t>
      </w:r>
    </w:p>
    <w:p>
      <w:pPr>
        <w:numPr>
          <w:ilvl w:val="0"/>
          <w:numId w:val="2"/>
        </w:numPr>
        <w:spacing w:lineRule="auto"/>
      </w:pPr>
      <w:r>
        <w:rPr>
          <w:rFonts w:eastAsia="Georgia" w:cs="Georgia" w:ascii="Georgia" w:hAnsi="Georgia"/>
        </w:rPr>
        <w:t xml:space="preserve">une lame «d'essai» ( </w:t>
      </w:r>
      <m:oMath>
        <m:sSub>
          <m:sSubPr/>
          <m:e>
            <m:r>
              <m:rPr>
                <m:scr m:val="script"/>
              </m:rPr>
              <m:t>L</m:t>
            </m:r>
          </m:e>
          <m:sub>
            <m:r>
              <m:rPr>
                <m:sty m:val="i"/>
              </m:rPr>
              <m:t>e</m:t>
            </m:r>
          </m:sub>
        </m:sSub>
      </m:oMath>
      <w:r>
        <w:rPr/>
        <w:t xml:space="preserve"> ), d'indice optique </w:t>
      </w:r>
      <m:oMath>
        <m:sSub>
          <m:sSubPr/>
          <m:e>
            <m:r>
              <m:rPr>
                <m:sty m:val="i"/>
              </m:rPr>
              <m:t>n</m:t>
            </m:r>
          </m:e>
          <m:sub>
            <m:r>
              <m:rPr>
                <m:sty m:val="i"/>
              </m:rPr>
              <m:t>e</m:t>
            </m:r>
          </m:sub>
        </m:sSub>
        <m:r>
          <m:rPr>
            <m:sty m:val="p"/>
          </m:rPr>
          <m:t>=</m:t>
        </m:r>
        <m:sSub>
          <m:sSubPr/>
          <m:e>
            <m:r>
              <m:rPr>
                <m:sty m:val="i"/>
              </m:rPr>
              <m:t>n</m:t>
            </m:r>
          </m:e>
          <m:sub>
            <m:r>
              <m:rPr>
                <m:sty m:val="p"/>
              </m:rPr>
              <m:t>0</m:t>
            </m:r>
          </m:sub>
        </m:sSub>
        <m:r>
          <m:rPr>
            <m:sty m:val="p"/>
          </m:rPr>
          <m:t>+</m:t>
        </m:r>
        <m:r>
          <m:rPr>
            <m:sty m:val="p"/>
          </m:rPr>
          <m:t>Δ</m:t>
        </m:r>
        <m:r>
          <m:rPr>
            <m:sty m:val="i"/>
          </m:rPr>
          <m:t>n</m:t>
        </m:r>
      </m:oMath>
      <w:r>
        <w:rPr/>
        <w:t xml:space="preserve"> (avec </w:t>
      </w:r>
      <m:oMath>
        <m:r>
          <m:rPr>
            <m:sty m:val="p"/>
          </m:rPr>
          <m:t>Δ</m:t>
        </m:r>
        <m:r>
          <m:rPr>
            <m:sty m:val="i"/>
          </m:rPr>
          <m:t>n</m:t>
        </m:r>
        <m:r>
          <m:rPr>
            <m:sty m:val="p"/>
          </m:rPr>
          <m:t>&gt;</m:t>
        </m:r>
        <m:r>
          <m:rPr>
            <m:sty m:val="p"/>
          </m:rPr>
          <m:t>0</m:t>
        </m:r>
      </m:oMath>
      <w:r>
        <w:rPr/>
        <w:t xml:space="preserve"> ).</w:t>
      </w:r>
    </w:p>
    <w:p>
      <w:pPr>
        <w:spacing w:after="220" w:lineRule="auto"/>
      </w:pPr>
      <w:r>
        <w:rPr/>
        <w:t xml:space="preserve">Afin de mesurer </w:t>
      </w:r>
      <m:oMath>
        <m:r>
          <m:rPr>
            <m:sty m:val="p"/>
          </m:rPr>
          <m:t>Δ</m:t>
        </m:r>
        <m:r>
          <m:rPr>
            <m:sty m:val="i"/>
          </m:rPr>
          <m:t>n</m:t>
        </m:r>
      </m:oMath>
      <w:r>
        <w:rPr>
          <w:rFonts w:eastAsia="Georgia" w:cs="Georgia" w:ascii="Georgia" w:hAnsi="Georgia"/>
        </w:rPr>
        <w:t xml:space="preserve">, on place chacune de ces lames dans un des bras d'un interféromètre de Mach-Zehnder (figure 7).</w:t>
      </w:r>
    </w:p>
    <w:p>
      <w:pPr>
        <w:spacing w:lineRule="auto"/>
        <w:jc w:val="center"/>
      </w:pPr>
      <w:r>
        <w:rPr/>
        <w:drawing>
          <wp:inline distB="0" distL="0" distR="0" distT="0">
            <wp:extent cx="5486400" cy="2047935"/>
            <wp:effectExtent b="0" l="0" r="0" t="0"/>
            <wp:docPr id="7" name="image-e96b1c14289402fe9e5592e86e0806bca04b34f5.jpg"/>
            <a:graphic>
              <a:graphicData uri="http://schemas.openxmlformats.org/drawingml/2006/picture">
                <pic:pic>
                  <pic:nvPicPr>
                    <pic:cNvPr id="7" name="image-e96b1c14289402fe9e5592e86e0806bca04b34f5.jpg" descr=""/>
                    <pic:cNvPicPr/>
                  </pic:nvPicPr>
                  <pic:blipFill>
                    <a:blip r:embed="rId11" cstate="print"/>
                    <a:srcRect b="0" l="0" r="0" t="0"/>
                    <a:stretch>
                      <a:fillRect/>
                    </a:stretch>
                  </pic:blipFill>
                  <pic:spPr>
                    <a:xfrm>
                      <a:off x="0" y="0"/>
                      <a:ext cx="5486400" cy="2047935"/>
                    </a:xfrm>
                    <a:prstGeom prst="rect"/>
                  </pic:spPr>
                </pic:pic>
              </a:graphicData>
            </a:graphic>
          </wp:inline>
        </w:drawing>
      </w:r>
    </w:p>
    <w:p>
      <w:pPr>
        <w:spacing w:lineRule="auto"/>
      </w:pPr>
      <w:r>
        <w:rPr>
          <w:rFonts w:eastAsia="Georgia" w:cs="Georgia" w:ascii="Georgia" w:hAnsi="Georgia"/>
        </w:rPr>
        <w:t xml:space="preserve">Figure 7 Schéma de principe de l'interféromètre de Mach-Zehnder et placement des lames étudiées.</w:t>
      </w:r>
    </w:p>
    <w:p>
      <w:pPr>
        <w:spacing w:after="220" w:lineRule="auto"/>
      </w:pPr>
      <w:r>
        <w:rPr>
          <w:rFonts w:eastAsia="Georgia" w:cs="Georgia" w:ascii="Georgia" w:hAnsi="Georgia"/>
        </w:rPr>
        <w:t xml:space="preserve">De façon simple, l'interféromètre de Mach-Zehnder est constituée de deux lames semi-réfléchissantes et de deux miroirs plans (tous ces éléments sont parallèles entre eux). La lame semi-réfléchissante placée en entrée du dispositif est appelée lame séparatrice ; elle permet de diviser le faisceau incident en deux faisceaux secondaires orthogonaux entre eux et de même intensité. Les deux miroirs plans (un dans chaque bras de l'interféromètre) permettent d'orienter les faisceaux secondaires vers la sortie du dispositif. La lame semi-réfléchissante placée en sortie du dispositif, rigoureusement identique à la lame séparatrice, est appelée lame combinatrice car elle permet de superposer les deux faisceaux secondaires en direction de l'écran (ou d'un photodétecteur).</w:t>
      </w:r>
      <w:r>
        <w:rPr/>
        <w:br w:type="textWrapping"/>
      </w:r>
      <w:r>
        <w:rPr>
          <w:rFonts w:eastAsia="Georgia" w:cs="Georgia" w:ascii="Georgia" w:hAnsi="Georgia"/>
        </w:rPr>
        <w:t xml:space="preserve">III.A.1) L'interféromètre de Mach-Zehnder est un interféromètre à division d'amplitude. Citer le nom d'un autre interféromètre de ce type et dater approximativement son invention.</w:t>
      </w:r>
      <w:r>
        <w:rPr/>
        <w:br w:type="textWrapping"/>
      </w:r>
      <w:r>
        <w:rPr>
          <w:rFonts w:eastAsia="Georgia" w:cs="Georgia" w:ascii="Georgia" w:hAnsi="Georgia"/>
        </w:rPr>
        <w:t xml:space="preserve">III.A.2) Pourquoi n'est-il pas nécessaire d'accoler une lame compensatrice à la lame séparatrice dans ce dispositif?</w:t>
      </w:r>
      <w:r>
        <w:rPr/>
        <w:br w:type="textWrapping"/>
      </w:r>
      <w:r>
        <w:rPr>
          <w:rFonts w:eastAsia="Georgia" w:cs="Georgia" w:ascii="Georgia" w:hAnsi="Georgia"/>
        </w:rPr>
        <w:t xml:space="preserve">III.A.3) Le faisceau incident est un faisceau de lumière parallèle. On suppose que les deux lames sont orientées de façon à être éclairées sous incidence normale. Déterminer la différence de marche </w:t>
      </w:r>
      <m:oMath>
        <m:r>
          <m:rPr>
            <m:sty m:val="i"/>
          </m:rPr>
          <m:t>δ</m:t>
        </m:r>
      </m:oMath>
      <w:r>
        <w:rPr>
          <w:rFonts w:eastAsia="Georgia" w:cs="Georgia" w:ascii="Georgia" w:hAnsi="Georgia"/>
        </w:rPr>
        <w:t xml:space="preserve"> entre les deux faisceaux en sortie de l'interféromètre.</w:t>
      </w:r>
      <w:r>
        <w:rPr/>
        <w:br w:type="textWrapping"/>
      </w:r>
      <w:r>
        <w:rPr>
          <w:rFonts w:eastAsia="Georgia" w:cs="Georgia" w:ascii="Georgia" w:hAnsi="Georgia"/>
        </w:rPr>
        <w:t xml:space="preserve">III.A.4) Dans le cas où le faisceau incident est monochromatique de longueur d'onde </w:t>
      </w:r>
      <m:oMath>
        <m:r>
          <m:rPr>
            <m:sty m:val="i"/>
          </m:rPr>
          <m:t>λ</m:t>
        </m:r>
      </m:oMath>
      <w:r>
        <w:rPr>
          <w:rFonts w:eastAsia="Georgia" w:cs="Georgia" w:ascii="Georgia" w:hAnsi="Georgia"/>
        </w:rPr>
        <w:t xml:space="preserve">, exprimer l'intensité lumineuse </w:t>
      </w:r>
      <m:oMath>
        <m:r>
          <m:rPr>
            <m:sty m:val="i"/>
          </m:rPr>
          <m:t>I</m:t>
        </m:r>
      </m:oMath>
      <w:r>
        <w:rPr>
          <w:rFonts w:eastAsia="Georgia" w:cs="Georgia" w:ascii="Georgia" w:hAnsi="Georgia"/>
        </w:rPr>
        <w:t xml:space="preserve"> obtenue sur l'écran en sortie du dispositif (on se placera dans le cadre du modèle scalaire de la lumière et on notera </w:t>
      </w:r>
      <m:oMath>
        <m:sSub>
          <m:sSubPr/>
          <m:e>
            <m:r>
              <m:rPr>
                <m:sty m:val="i"/>
              </m:rPr>
              <m:t>I</m:t>
            </m:r>
          </m:e>
          <m:sub>
            <m:r>
              <m:rPr>
                <m:sty m:val="p"/>
              </m:rPr>
              <m:t>0</m:t>
            </m:r>
          </m:sub>
        </m:sSub>
      </m:oMath>
      <w:r>
        <w:rPr>
          <w:rFonts w:eastAsia="Georgia" w:cs="Georgia" w:ascii="Georgia" w:hAnsi="Georgia"/>
        </w:rPr>
        <w:t xml:space="preserve"> l'intensité lumineuse obtenue sur l'écran en masquant l'un des deux miroirs). Décrire brièvement ce que l'on observe sur l'écran.</w:t>
      </w:r>
      <w:r>
        <w:rPr/>
        <w:br w:type="textWrapping"/>
      </w:r>
      <w:r>
        <w:rPr>
          <w:rFonts w:eastAsia="Georgia" w:cs="Georgia" w:ascii="Georgia" w:hAnsi="Georgia"/>
        </w:rPr>
        <w:t xml:space="preserve">III.A.5) Pour quelle(s) longueur(s) d'onde, l'intensité </w:t>
      </w:r>
      <m:oMath>
        <m:r>
          <m:rPr>
            <m:sty m:val="i"/>
          </m:rPr>
          <m:t>I</m:t>
        </m:r>
      </m:oMath>
      <w:r>
        <w:rPr/>
        <w:t xml:space="preserve"> est-elle maximale ?</w:t>
      </w:r>
      <w:r>
        <w:rPr/>
        <w:br w:type="textWrapping"/>
      </w:r>
      <w:r>
        <w:rPr/>
        <w:t xml:space="preserve">III.A.6) Proposer un protocole de mesure de </w:t>
      </w:r>
      <m:oMath>
        <m:r>
          <m:rPr>
            <m:sty m:val="p"/>
          </m:rPr>
          <m:t>Δ</m:t>
        </m:r>
        <m:r>
          <m:rPr>
            <m:sty m:val="i"/>
          </m:rPr>
          <m:t>n</m:t>
        </m:r>
      </m:oMath>
      <w:r>
        <w:rPr>
          <w:rFonts w:eastAsia="Georgia" w:cs="Georgia" w:ascii="Georgia" w:hAnsi="Georgia"/>
        </w:rPr>
        <w:t xml:space="preserve"> à l'aide de ce dispositif (et de tout le matériel classique d'un laboratoire d'optique).</w:t>
      </w:r>
    </w:p>
    <w:p>
      <w:pPr>
        <w:spacing w:line="271" w:before="330" w:lineRule="auto"/>
      </w:pPr>
      <w:r>
        <w:rPr>
          <w:rFonts w:eastAsia="Georgia" w:cs="Georgia" w:ascii="Georgia" w:hAnsi="Georgia"/>
          <w:b/>
          <w:sz w:val="42"/>
        </w:rPr>
        <w:t xml:space="preserve">III.B - Propagation d'une onde polarisée à travers un morceau de Scotch </w:t>
      </w:r>
      <m:oMath>
        <m:sSup>
          <m:sSupPr>
            <m:ctrlPr>
              <w:rPr>
                <w:rFonts w:ascii="Cambria Math" w:hAnsi="Cambria Math"/>
                <w:sz w:val="42"/>
              </w:rPr>
            </m:ctrlPr>
          </m:sSupPr>
          <m:e>
            <m:r>
              <m:t xml:space="preserve"> </m:t>
            </m:r>
          </m:e>
          <m:sup>
            <m:r>
              <m:rPr>
                <m:sty m:val="i"/>
              </m:rPr>
              <w:rPr>
                <w:sz w:val="42"/>
              </w:rPr>
              <m:t>®</m:t>
            </m:r>
          </m:sup>
        </m:sSup>
      </m:oMath>
    </w:p>
    <w:p>
      <w:pPr>
        <w:spacing w:after="220" w:lineRule="auto"/>
      </w:pPr>
      <w:r>
        <w:rPr/>
        <w:t xml:space="preserve">Le Scotch </w:t>
      </w:r>
      <m:oMath>
        <m:sSup>
          <m:sSupPr/>
          <m:e>
            <m:r>
              <m:t xml:space="preserve"> </m:t>
            </m:r>
          </m:e>
          <m:sup>
            <m:r>
              <m:rPr>
                <m:sty m:val="i"/>
              </m:rPr>
              <m:t>®</m:t>
            </m:r>
          </m:sup>
        </m:sSup>
      </m:oMath>
      <w:r>
        <w:rPr>
          <w:rFonts w:eastAsia="Georgia" w:cs="Georgia" w:ascii="Georgia" w:hAnsi="Georgia"/>
        </w:rPr>
        <w:t xml:space="preserve"> est un milieu biréfringent, c'est-à-dire que son indice de réfraction n'est pas unique : il dépend de la direction de polarisation de l'onde lumineuse qui le traverse. Pour la suite, on considère un morceau de Scotch </w:t>
      </w:r>
      <m:oMath>
        <m:sSup>
          <m:sSupPr/>
          <m:e>
            <m:r>
              <m:t xml:space="preserve"> </m:t>
            </m:r>
          </m:e>
          <m:sup>
            <m:r>
              <m:rPr>
                <m:sty m:val="i"/>
              </m:rPr>
              <m:t>®</m:t>
            </m:r>
          </m:sup>
        </m:sSup>
      </m:oMath>
      <w:r>
        <w:rPr>
          <w:rFonts w:eastAsia="Georgia" w:cs="Georgia" w:ascii="Georgia" w:hAnsi="Georgia"/>
        </w:rPr>
        <w:t xml:space="preserve"> assimilé à une lame plane à faces parallèles, orthogonales à l'axe </w:t>
      </w:r>
      <m:oMath>
        <m:r>
          <m:rPr>
            <m:sty m:val="i"/>
          </m:rPr>
          <m:t>O</m:t>
        </m:r>
        <m:r>
          <m:rPr>
            <m:sty m:val="i"/>
          </m:rPr>
          <m:t>z</m:t>
        </m:r>
      </m:oMath>
      <w:r>
        <w:rPr>
          <w:rFonts w:eastAsia="Georgia" w:cs="Georgia" w:ascii="Georgia" w:hAnsi="Georgia"/>
        </w:rPr>
        <w:t xml:space="preserve">, d'épaisseur </w:t>
      </w:r>
      <m:oMath>
        <m:r>
          <m:rPr>
            <m:sty m:val="i"/>
          </m:rPr>
          <m:t>e</m:t>
        </m:r>
      </m:oMath>
      <w:r>
        <w:rPr/>
        <w:t xml:space="preserve">. On envoie sur cette lame une onde lumineuse plane, progressive (selon </w:t>
      </w:r>
      <m:oMath>
        <m:r>
          <m:rPr>
            <m:sty m:val="p"/>
          </m:rPr>
          <m:t>+</m:t>
        </m:r>
        <m:r>
          <m:rPr>
            <m:sty m:val="i"/>
          </m:rPr>
          <m:t>O</m:t>
        </m:r>
        <m:r>
          <m:rPr>
            <m:sty m:val="i"/>
          </m:rPr>
          <m:t>z</m:t>
        </m:r>
      </m:oMath>
      <w:r>
        <w:rPr>
          <w:rFonts w:eastAsia="Georgia" w:cs="Georgia" w:ascii="Georgia" w:hAnsi="Georgia"/>
        </w:rPr>
        <w:t xml:space="preserve"> ), monochromatique, polarisée rectilignement, et on admet que:</w:t>
      </w:r>
    </w:p>
    <w:p>
      <w:pPr>
        <w:numPr>
          <w:ilvl w:val="0"/>
          <w:numId w:val="3"/>
        </w:numPr>
        <w:spacing w:lineRule="auto"/>
      </w:pPr>
      <w:r>
        <w:rPr/>
        <w:t xml:space="preserve">pour une polarisation rectiligne selon </w:t>
      </w:r>
      <m:oMath>
        <m:r>
          <m:rPr>
            <m:sty m:val="i"/>
          </m:rPr>
          <m:t>O</m:t>
        </m:r>
        <m:r>
          <m:rPr>
            <m:sty m:val="i"/>
          </m:rPr>
          <m:t>x</m:t>
        </m:r>
      </m:oMath>
      <w:r>
        <w:rPr>
          <w:rFonts w:eastAsia="Georgia" w:cs="Georgia" w:ascii="Georgia" w:hAnsi="Georgia"/>
        </w:rPr>
        <w:t xml:space="preserve">, l'onde se propage à la vitesse </w:t>
      </w:r>
      <m:oMath>
        <m:sSub>
          <m:sSubPr/>
          <m:e>
            <m:r>
              <m:rPr>
                <m:sty m:val="i"/>
              </m:rPr>
              <m:t>v</m:t>
            </m:r>
          </m:e>
          <m:sub>
            <m:r>
              <m:rPr>
                <m:sty m:val="p"/>
              </m:rPr>
              <m:t>0</m:t>
            </m:r>
          </m:sub>
        </m:sSub>
        <m:r>
          <m:rPr>
            <m:sty m:val="p"/>
          </m:rPr>
          <m:t>=</m:t>
        </m:r>
        <m:f>
          <m:fPr>
            <m:ctrlPr>
              <w:rPr>
                <w:rFonts w:ascii="Cambria Math" w:hAnsi="Cambria Math"/>
              </w:rPr>
            </m:ctrlPr>
          </m:fPr>
          <m:num>
            <m:r>
              <m:rPr>
                <m:sty m:val="i"/>
              </m:rPr>
              <m:t>c</m:t>
            </m:r>
          </m:num>
          <m:den>
            <m:sSub>
              <m:sSubPr/>
              <m:e>
                <m:r>
                  <m:rPr>
                    <m:sty m:val="i"/>
                  </m:rPr>
                  <m:t>n</m:t>
                </m:r>
              </m:e>
              <m:sub>
                <m:r>
                  <m:rPr>
                    <m:sty m:val="p"/>
                  </m:rPr>
                  <m:t>0</m:t>
                </m:r>
              </m:sub>
            </m:sSub>
          </m:den>
        </m:f>
      </m:oMath>
      <w:r>
        <w:rPr/>
        <w:t xml:space="preserve"> dans la lame, sans changer de direction de polarisation ;</w:t>
      </w:r>
    </w:p>
    <w:p>
      <w:pPr>
        <w:numPr>
          <w:ilvl w:val="0"/>
          <w:numId w:val="3"/>
        </w:numPr>
        <w:spacing w:lineRule="auto"/>
      </w:pPr>
      <w:r>
        <w:rPr/>
        <w:t xml:space="preserve">pour une polarisation rectiligne selon </w:t>
      </w:r>
      <m:oMath>
        <m:r>
          <m:rPr>
            <m:sty m:val="i"/>
          </m:rPr>
          <m:t>O</m:t>
        </m:r>
        <m:r>
          <m:rPr>
            <m:sty m:val="i"/>
          </m:rPr>
          <m:t>y</m:t>
        </m:r>
      </m:oMath>
      <w:r>
        <w:rPr>
          <w:rFonts w:eastAsia="Georgia" w:cs="Georgia" w:ascii="Georgia" w:hAnsi="Georgia"/>
        </w:rPr>
        <w:t xml:space="preserve">, l'onde se propage à la vitesse </w:t>
      </w:r>
      <m:oMath>
        <m:sSub>
          <m:sSubPr/>
          <m:e>
            <m:r>
              <m:rPr>
                <m:sty m:val="i"/>
              </m:rPr>
              <m:t>v</m:t>
            </m:r>
          </m:e>
          <m:sub>
            <m:r>
              <m:rPr>
                <m:sty m:val="i"/>
              </m:rPr>
              <m:t>e</m:t>
            </m:r>
          </m:sub>
        </m:sSub>
        <m:r>
          <m:rPr>
            <m:sty m:val="p"/>
          </m:rPr>
          <m:t>=</m:t>
        </m:r>
        <m:f>
          <m:fPr>
            <m:ctrlPr>
              <w:rPr>
                <w:rFonts w:ascii="Cambria Math" w:hAnsi="Cambria Math"/>
              </w:rPr>
            </m:ctrlPr>
          </m:fPr>
          <m:num>
            <m:r>
              <m:rPr>
                <m:sty m:val="i"/>
              </m:rPr>
              <m:t>c</m:t>
            </m:r>
          </m:num>
          <m:den>
            <m:sSub>
              <m:sSubPr/>
              <m:e>
                <m:r>
                  <m:rPr>
                    <m:sty m:val="i"/>
                  </m:rPr>
                  <m:t>n</m:t>
                </m:r>
              </m:e>
              <m:sub>
                <m:r>
                  <m:rPr>
                    <m:sty m:val="i"/>
                  </m:rPr>
                  <m:t>e</m:t>
                </m:r>
              </m:sub>
            </m:sSub>
          </m:den>
        </m:f>
      </m:oMath>
      <w:r>
        <w:rPr/>
        <w:t xml:space="preserve"> dans la lame, avec </w:t>
      </w:r>
      <m:oMath>
        <m:sSub>
          <m:sSubPr/>
          <m:e>
            <m:r>
              <m:rPr>
                <m:sty m:val="i"/>
              </m:rPr>
              <m:t>n</m:t>
            </m:r>
          </m:e>
          <m:sub>
            <m:r>
              <m:rPr>
                <m:sty m:val="i"/>
              </m:rPr>
              <m:t>e</m:t>
            </m:r>
          </m:sub>
        </m:sSub>
        <m:r>
          <m:rPr>
            <m:sty m:val="p"/>
          </m:rPr>
          <m:t>=</m:t>
        </m:r>
        <m:sSub>
          <m:sSubPr/>
          <m:e>
            <m:r>
              <m:rPr>
                <m:sty m:val="i"/>
              </m:rPr>
              <m:t>n</m:t>
            </m:r>
          </m:e>
          <m:sub>
            <m:r>
              <m:rPr>
                <m:sty m:val="p"/>
              </m:rPr>
              <m:t>0</m:t>
            </m:r>
          </m:sub>
        </m:sSub>
        <m:r>
          <m:rPr>
            <m:sty m:val="p"/>
          </m:rPr>
          <m:t>+</m:t>
        </m:r>
        <m:r>
          <m:rPr>
            <m:sty m:val="p"/>
          </m:rPr>
          <m:t>Δ</m:t>
        </m:r>
        <m:r>
          <m:rPr>
            <m:sty m:val="i"/>
          </m:rPr>
          <m:t>n</m:t>
        </m:r>
      </m:oMath>
      <w:r>
        <w:rPr/>
        <w:t xml:space="preserve">, sans changer de direction de polarisation.</w:t>
      </w:r>
      <w:r>
        <w:rPr/>
        <w:br w:type="textWrapping"/>
      </w:r>
      <w:r>
        <w:rPr/>
        <w:t xml:space="preserve">Les axes </w:t>
      </w:r>
      <m:oMath>
        <m:r>
          <m:rPr>
            <m:sty m:val="i"/>
          </m:rPr>
          <m:t>O</m:t>
        </m:r>
        <m:r>
          <m:rPr>
            <m:sty m:val="i"/>
          </m:rPr>
          <m:t>x</m:t>
        </m:r>
      </m:oMath>
      <w:r>
        <w:rPr/>
        <w:t xml:space="preserve"> et </w:t>
      </w:r>
      <m:oMath>
        <m:r>
          <m:rPr>
            <m:sty m:val="i"/>
          </m:rPr>
          <m:t>O</m:t>
        </m:r>
        <m:r>
          <m:rPr>
            <m:sty m:val="i"/>
          </m:rPr>
          <m:t>y</m:t>
        </m:r>
      </m:oMath>
      <w:r>
        <w:rPr>
          <w:rFonts w:eastAsia="Georgia" w:cs="Georgia" w:ascii="Georgia" w:hAnsi="Georgia"/>
        </w:rPr>
        <w:t xml:space="preserve"> sont appelés lignes neutres de la lame.</w:t>
      </w:r>
      <w:r>
        <w:rPr/>
        <w:br w:type="textWrapping"/>
      </w:r>
      <w:r>
        <w:rPr/>
        <w:t xml:space="preserve">L'origine de l'axe </w:t>
      </w:r>
      <m:oMath>
        <m:r>
          <m:rPr>
            <m:sty m:val="i"/>
          </m:rPr>
          <m:t>O</m:t>
        </m:r>
        <m:r>
          <m:rPr>
            <m:sty m:val="i"/>
          </m:rPr>
          <m:t>z</m:t>
        </m:r>
      </m:oMath>
      <w:r>
        <w:rPr>
          <w:rFonts w:eastAsia="Georgia" w:cs="Georgia" w:ascii="Georgia" w:hAnsi="Georgia"/>
        </w:rPr>
        <w:t xml:space="preserve"> est choisie au niveau de la face d'entrée de la lame. On néglige tout phénomène de réflexion partielle au niveau des faces de la lame.</w:t>
      </w:r>
      <w:r>
        <w:rPr/>
        <w:br w:type="textWrapping"/>
      </w:r>
      <w:r>
        <w:rPr>
          <w:rFonts w:eastAsia="Georgia" w:cs="Georgia" w:ascii="Georgia" w:hAnsi="Georgia"/>
        </w:rPr>
        <w:t xml:space="preserve">III.B.1) En notation complexe, le champ électrique associé à l'onde incidente (dans le domaine </w:t>
      </w:r>
      <m:oMath>
        <m:r>
          <m:rPr>
            <m:sty m:val="i"/>
          </m:rPr>
          <m:t>z</m:t>
        </m:r>
        <m:r>
          <m:rPr>
            <m:sty m:val="p"/>
          </m:rPr>
          <m:t>&lt;</m:t>
        </m:r>
        <m:r>
          <m:rPr>
            <m:sty m:val="p"/>
          </m:rPr>
          <m:t>0</m:t>
        </m:r>
      </m:oMath>
      <w:r>
        <w:rPr>
          <w:rFonts w:eastAsia="Georgia" w:cs="Georgia" w:ascii="Georgia" w:hAnsi="Georgia"/>
        </w:rPr>
        <w:t xml:space="preserve"> ) s'écrit </w:t>
      </w:r>
      <m:oMath>
        <m:bar>
          <m:barPr/>
          <m:e>
            <m:acc>
              <m:accPr>
                <m:chr m:val="⃗"/>
              </m:accPr>
              <m:e>
                <m:r>
                  <m:rPr>
                    <m:sty m:val="i"/>
                  </m:rPr>
                  <m:t>E</m:t>
                </m:r>
              </m:e>
            </m:acc>
          </m:e>
        </m:bar>
        <m:r>
          <m:rPr>
            <m:sty m:val="p"/>
          </m:rPr>
          <m:t>(</m:t>
        </m:r>
        <m:r>
          <m:rPr>
            <m:sty m:val="i"/>
          </m:rPr>
          <m:t>M</m:t>
        </m:r>
        <m:r>
          <m:rPr>
            <m:sty m:val="p"/>
          </m:rPr>
          <m:t>,</m:t>
        </m:r>
        <m:r>
          <m:rPr>
            <m:sty m:val="i"/>
          </m:rPr>
          <m:t>t</m:t>
        </m:r>
        <m:r>
          <m:rPr>
            <m:sty m:val="p"/>
          </m:rPr>
          <m:t>)</m:t>
        </m:r>
        <m:r>
          <m:rPr>
            <m:sty m:val="p"/>
          </m:rPr>
          <m:t>=</m:t>
        </m:r>
        <m:sSub>
          <m:sSubPr/>
          <m:e>
            <m:acc>
              <m:accPr>
                <m:chr m:val="⃗"/>
              </m:accPr>
              <m:e>
                <m:r>
                  <m:rPr>
                    <m:sty m:val="i"/>
                  </m:rPr>
                  <m:t>E</m:t>
                </m:r>
              </m:e>
            </m:acc>
          </m:e>
          <m:sub>
            <m:r>
              <m:rPr>
                <m:sty m:val="p"/>
              </m:rPr>
              <m:t>0</m:t>
            </m:r>
          </m:sub>
        </m:sSub>
        <m:sSup>
          <m:sSupPr/>
          <m:e>
            <m:r>
              <m:rPr>
                <m:sty m:val="i"/>
              </m:rPr>
              <m:t>e</m:t>
            </m:r>
          </m:e>
          <m:sup>
            <m:r>
              <m:rPr>
                <m:sty m:val="i"/>
              </m:rPr>
              <m:t>j</m:t>
            </m:r>
            <m:r>
              <m:rPr>
                <m:sty m:val="p"/>
              </m:rPr>
              <m:t>(</m:t>
            </m:r>
            <m:r>
              <m:rPr>
                <m:sty m:val="i"/>
              </m:rPr>
              <m:t>ω</m:t>
            </m:r>
            <m:r>
              <m:rPr>
                <m:sty m:val="i"/>
              </m:rPr>
              <m:t>t</m:t>
            </m:r>
            <m:r>
              <m:rPr>
                <m:sty m:val="p"/>
              </m:rPr>
              <m:t>−</m:t>
            </m:r>
            <m:acc>
              <m:accPr>
                <m:chr m:val="⃗"/>
              </m:accPr>
              <m:e>
                <m:r>
                  <m:rPr>
                    <m:sty m:val="i"/>
                  </m:rPr>
                  <m:t>k</m:t>
                </m:r>
              </m:e>
            </m:acc>
            <m:r>
              <m:rPr>
                <m:sty m:val="p"/>
              </m:rPr>
              <m:t>⋅</m:t>
            </m:r>
            <m:acc>
              <m:accPr>
                <m:chr m:val="⃗"/>
              </m:accPr>
              <m:e>
                <m:r>
                  <m:rPr>
                    <m:sty m:val="i"/>
                  </m:rPr>
                  <m:t>O</m:t>
                </m:r>
                <m:r>
                  <m:rPr>
                    <m:sty m:val="i"/>
                  </m:rPr>
                  <m:t>M</m:t>
                </m:r>
              </m:e>
            </m:acc>
            <m:r>
              <m:rPr>
                <m:sty m:val="p"/>
              </m:rPr>
              <m:t>)</m:t>
            </m:r>
          </m:sup>
        </m:sSup>
      </m:oMath>
      <w:r>
        <w:rPr>
          <w:rFonts w:eastAsia="Georgia" w:cs="Georgia" w:ascii="Georgia" w:hAnsi="Georgia"/>
        </w:rPr>
        <w:t xml:space="preserve">, où </w:t>
      </w:r>
      <m:oMath>
        <m:r>
          <m:rPr>
            <m:sty m:val="i"/>
          </m:rPr>
          <m:t>ω</m:t>
        </m:r>
      </m:oMath>
      <w:r>
        <w:rPr/>
        <w:t xml:space="preserve"> est la pulsation de l'onde et </w:t>
      </w:r>
      <m:oMath>
        <m:sSub>
          <m:sSubPr/>
          <m:e>
            <m:acc>
              <m:accPr>
                <m:chr m:val="⃗"/>
              </m:accPr>
              <m:e>
                <m:r>
                  <m:rPr>
                    <m:sty m:val="i"/>
                  </m:rPr>
                  <m:t>E</m:t>
                </m:r>
              </m:e>
            </m:acc>
          </m:e>
          <m:sub>
            <m:r>
              <m:rPr>
                <m:sty m:val="p"/>
              </m:rPr>
              <m:t>0</m:t>
            </m:r>
          </m:sub>
        </m:sSub>
      </m:oMath>
      <w:r>
        <w:rPr/>
        <w:t xml:space="preserve"> un vecteur constant.</w:t>
      </w:r>
      <w:r>
        <w:rPr/>
        <w:br w:type="textWrapping"/>
      </w:r>
      <w:r>
        <w:rPr/>
        <w:t xml:space="preserve">a) Exprimer le vecteur d'onde </w:t>
      </w:r>
      <m:oMath>
        <m:acc>
          <m:accPr>
            <m:chr m:val="⃗"/>
          </m:accPr>
          <m:e>
            <m:r>
              <m:rPr>
                <m:sty m:val="i"/>
              </m:rPr>
              <m:t>k</m:t>
            </m:r>
          </m:e>
        </m:acc>
      </m:oMath>
      <w:r>
        <w:rPr>
          <w:rFonts w:eastAsia="Georgia" w:cs="Georgia" w:ascii="Georgia" w:hAnsi="Georgia"/>
        </w:rPr>
        <w:t xml:space="preserve"> correspondant à la situation étudiée.</w:t>
      </w:r>
      <w:r>
        <w:rPr/>
        <w:br w:type="textWrapping"/>
      </w:r>
      <w:r>
        <w:rPr/>
        <w:t xml:space="preserve">b) Justifier que les vecteurs </w:t>
      </w:r>
      <m:oMath>
        <m:acc>
          <m:accPr>
            <m:chr m:val="⃗"/>
          </m:accPr>
          <m:e>
            <m:r>
              <m:rPr>
                <m:sty m:val="i"/>
              </m:rPr>
              <m:t>k</m:t>
            </m:r>
          </m:e>
        </m:acc>
      </m:oMath>
      <w:r>
        <w:rPr/>
        <w:t xml:space="preserve"> et </w:t>
      </w:r>
      <m:oMath>
        <m:sSub>
          <m:sSubPr/>
          <m:e>
            <m:acc>
              <m:accPr>
                <m:chr m:val="⃗"/>
              </m:accPr>
              <m:e>
                <m:r>
                  <m:rPr>
                    <m:sty m:val="i"/>
                  </m:rPr>
                  <m:t>E</m:t>
                </m:r>
              </m:e>
            </m:acc>
          </m:e>
          <m:sub>
            <m:r>
              <m:rPr>
                <m:sty m:val="p"/>
              </m:rPr>
              <m:t>0</m:t>
            </m:r>
          </m:sub>
        </m:sSub>
      </m:oMath>
      <w:r>
        <w:rPr>
          <w:rFonts w:eastAsia="Georgia" w:cs="Georgia" w:ascii="Georgia" w:hAnsi="Georgia"/>
        </w:rPr>
        <w:t xml:space="preserve"> sont nécessairement orthogonaux entre eux.</w:t>
      </w:r>
      <w:r>
        <w:rPr/>
        <w:br w:type="textWrapping"/>
      </w:r>
      <w:r>
        <w:rPr>
          <w:rFonts w:eastAsia="Georgia" w:cs="Georgia" w:ascii="Georgia" w:hAnsi="Georgia"/>
        </w:rPr>
        <w:t xml:space="preserve">III.B.2) On suppose dans cette question que l'onde incidente est polarisée rectilignement selon </w:t>
      </w:r>
      <m:oMath>
        <m:r>
          <m:rPr>
            <m:sty m:val="i"/>
          </m:rPr>
          <m:t>O</m:t>
        </m:r>
        <m:r>
          <m:rPr>
            <m:sty m:val="i"/>
          </m:rPr>
          <m:t>x</m:t>
        </m:r>
      </m:oMath>
      <w:r>
        <w:rPr>
          <w:rFonts w:eastAsia="Georgia" w:cs="Georgia" w:ascii="Georgia" w:hAnsi="Georgia"/>
        </w:rPr>
        <w:t xml:space="preserve">. Expliciter, en notation complexe, le champ électrique associé à l'onde au niveau de la face de sortie de la lame (en </w:t>
      </w:r>
      <m:oMath>
        <m:r>
          <m:rPr>
            <m:sty m:val="i"/>
          </m:rPr>
          <m:t>z</m:t>
        </m:r>
        <m:r>
          <m:rPr>
            <m:sty m:val="p"/>
          </m:rPr>
          <m:t>=</m:t>
        </m:r>
        <m:r>
          <m:rPr>
            <m:sty m:val="i"/>
          </m:rPr>
          <m:t>e</m:t>
        </m:r>
      </m:oMath>
      <w:r>
        <w:rPr/>
        <w:t xml:space="preserve"> ), puis en un point quelconque du domaine </w:t>
      </w:r>
      <m:oMath>
        <m:r>
          <m:rPr>
            <m:sty m:val="i"/>
          </m:rPr>
          <m:t>z</m:t>
        </m:r>
        <m:r>
          <m:rPr>
            <m:sty m:val="p"/>
          </m:rPr>
          <m:t>&gt;</m:t>
        </m:r>
        <m:r>
          <m:rPr>
            <m:sty m:val="i"/>
          </m:rPr>
          <m:t>e</m:t>
        </m:r>
      </m:oMath>
      <w:r>
        <w:rPr/>
        <w:t xml:space="preserve">.</w:t>
      </w:r>
      <w:r>
        <w:rPr/>
        <w:br w:type="textWrapping"/>
      </w:r>
      <w:r>
        <w:rPr>
          <w:rFonts w:eastAsia="Georgia" w:cs="Georgia" w:ascii="Georgia" w:hAnsi="Georgia"/>
        </w:rPr>
        <w:t xml:space="preserve">III.B.3) L'onde incidente est désormais polarisée rectilignement selon la première bissectrice des axes </w:t>
      </w:r>
      <m:oMath>
        <m:r>
          <m:rPr>
            <m:sty m:val="i"/>
          </m:rPr>
          <m:t>O</m:t>
        </m:r>
        <m:r>
          <m:rPr>
            <m:sty m:val="i"/>
          </m:rPr>
          <m:t>x</m:t>
        </m:r>
      </m:oMath>
      <w:r>
        <w:rPr/>
        <w:t xml:space="preserve"> et Oy: </w:t>
      </w:r>
      <m:oMath>
        <m:sSub>
          <m:sSubPr/>
          <m:e>
            <m:acc>
              <m:accPr>
                <m:chr m:val="⃗"/>
              </m:accPr>
              <m:e>
                <m:r>
                  <m:rPr>
                    <m:sty m:val="i"/>
                  </m:rPr>
                  <m:t>E</m:t>
                </m:r>
              </m:e>
            </m:acc>
          </m:e>
          <m:sub>
            <m:r>
              <m:rPr>
                <m:sty m:val="p"/>
              </m:rPr>
              <m:t>0</m:t>
            </m:r>
          </m:sub>
        </m:sSub>
        <m:r>
          <m:rPr>
            <m:sty m:val="p"/>
          </m:rPr>
          <m:t>=</m:t>
        </m:r>
        <m:f>
          <m:fPr>
            <m:ctrlPr>
              <w:rPr>
                <w:rFonts w:ascii="Cambria Math" w:hAnsi="Cambria Math"/>
              </w:rPr>
            </m:ctrlPr>
          </m:fPr>
          <m:num>
            <m:sSub>
              <m:sSubPr/>
              <m:e>
                <m:r>
                  <m:rPr>
                    <m:sty m:val="i"/>
                  </m:rPr>
                  <m:t>E</m:t>
                </m:r>
              </m:e>
              <m:sub>
                <m:r>
                  <m:rPr>
                    <m:sty m:val="p"/>
                  </m:rPr>
                  <m:t>0</m:t>
                </m:r>
              </m:sub>
            </m:sSub>
          </m:num>
          <m:den>
            <m:rad>
              <m:radPr>
                <m:degHide m:val="1"/>
                <m:ctrlPr>
                  <w:rPr>
                    <w:rFonts w:ascii="Cambria Math" w:hAnsi="Cambria Math"/>
                  </w:rPr>
                </m:ctrlPr>
              </m:radPr>
              <m:deg/>
              <m:e>
                <m:r>
                  <m:rPr>
                    <m:sty m:val="p"/>
                  </m:rPr>
                  <m:t>2</m:t>
                </m:r>
              </m:e>
            </m:rad>
          </m:den>
        </m:f>
        <m:d>
          <m:dPr>
            <m:begChr m:val="("/>
            <m:endChr m:val=")"/>
            <m:ctrlPr>
              <w:rPr>
                <w:rFonts w:ascii="Cambria Math" w:hAnsi="Cambria Math"/>
              </w:rPr>
            </m:ctrlPr>
          </m:dPr>
          <m:e>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e>
        </m:d>
      </m:oMath>
      <w:r>
        <w:rPr/>
        <w:t xml:space="preserve"> (avec </w:t>
      </w:r>
      <m:oMath>
        <m:sSub>
          <m:sSubPr/>
          <m:e>
            <m:r>
              <m:rPr>
                <m:sty m:val="i"/>
              </m:rPr>
              <m:t>E</m:t>
            </m:r>
          </m:e>
          <m:sub>
            <m:r>
              <m:rPr>
                <m:sty m:val="p"/>
              </m:rPr>
              <m:t>0</m:t>
            </m:r>
          </m:sub>
        </m:sSub>
        <m:r>
          <m:rPr>
            <m:sty m:val="p"/>
          </m:rPr>
          <m:t>=</m:t>
        </m:r>
        <m:d>
          <m:dPr>
            <m:begChr m:val="‖"/>
            <m:endChr m:val="‖"/>
            <m:ctrlPr>
              <w:rPr>
                <w:rFonts w:ascii="Cambria Math" w:hAnsi="Cambria Math"/>
              </w:rPr>
            </m:ctrlPr>
          </m:dPr>
          <m:e>
            <m:sSub>
              <m:sSubPr/>
              <m:e>
                <m:acc>
                  <m:accPr>
                    <m:chr m:val="⃗"/>
                  </m:accPr>
                  <m:e>
                    <m:r>
                      <m:rPr>
                        <m:sty m:val="i"/>
                      </m:rPr>
                      <m:t>E</m:t>
                    </m:r>
                  </m:e>
                </m:acc>
              </m:e>
              <m:sub>
                <m:r>
                  <m:rPr>
                    <m:sty m:val="p"/>
                  </m:rPr>
                  <m:t>0</m:t>
                </m:r>
              </m:sub>
            </m:sSub>
          </m:e>
        </m:d>
      </m:oMath>
      <w:r>
        <w:rPr/>
        <w:t xml:space="preserve"> ).</w:t>
      </w:r>
      <w:r>
        <w:rPr/>
        <w:br w:type="textWrapping"/>
      </w:r>
      <w:r>
        <w:rPr>
          <w:rFonts w:eastAsia="Georgia" w:cs="Georgia" w:ascii="Georgia" w:hAnsi="Georgia"/>
        </w:rPr>
        <w:t xml:space="preserve">a) En admettant que la biréfringence du Scotch </w:t>
      </w:r>
      <m:oMath>
        <m:sSup>
          <m:sSupPr/>
          <m:e>
            <m:r>
              <m:t xml:space="preserve"> </m:t>
            </m:r>
          </m:e>
          <m:sup>
            <m:r>
              <m:rPr>
                <m:sty m:val="i"/>
              </m:rPr>
              <m:t>®</m:t>
            </m:r>
          </m:sup>
        </m:sSup>
      </m:oMath>
      <w:r>
        <w:rPr>
          <w:rFonts w:eastAsia="Georgia" w:cs="Georgia" w:ascii="Georgia" w:hAnsi="Georgia"/>
        </w:rPr>
        <w:t xml:space="preserve"> est un phénomène linéaire, donner en notation complexe l'expression du champ électrique obtenu dans le domaine </w:t>
      </w:r>
      <m:oMath>
        <m:r>
          <m:rPr>
            <m:sty m:val="i"/>
          </m:rPr>
          <m:t>z</m:t>
        </m:r>
        <m:r>
          <m:rPr>
            <m:sty m:val="p"/>
          </m:rPr>
          <m:t>&gt;</m:t>
        </m:r>
        <m:r>
          <m:rPr>
            <m:sty m:val="i"/>
          </m:rPr>
          <m:t>e</m:t>
        </m:r>
      </m:oMath>
      <w:r>
        <w:rPr/>
        <w:t xml:space="preserve">.</w:t>
      </w:r>
      <w:r>
        <w:rPr/>
        <w:br w:type="textWrapping"/>
      </w:r>
      <w:r>
        <w:rPr>
          <w:rFonts w:eastAsia="Georgia" w:cs="Georgia" w:ascii="Georgia" w:hAnsi="Georgia"/>
        </w:rPr>
        <w:t xml:space="preserve">b) Après avoir traversé la lame, l'onde est-elle toujours polarisée rectilignement ?</w:t>
      </w:r>
      <w:r>
        <w:rPr/>
        <w:br w:type="textWrapping"/>
      </w:r>
      <w:r>
        <w:rPr/>
        <w:t xml:space="preserve">c) Montrer que, si </w:t>
      </w:r>
      <m:oMath>
        <m:r>
          <m:rPr>
            <m:sty m:val="p"/>
          </m:rPr>
          <m:t>Δ</m:t>
        </m:r>
        <m:r>
          <m:rPr>
            <m:sty m:val="i"/>
          </m:rPr>
          <m:t>n</m:t>
        </m:r>
        <m:r>
          <m:rPr>
            <m:sty m:val="i"/>
          </m:rPr>
          <m:t>e</m:t>
        </m:r>
        <m:r>
          <m:rPr>
            <m:sty m:val="p"/>
          </m:rPr>
          <m:t>=</m:t>
        </m:r>
        <m:r>
          <m:rPr>
            <m:sty m:val="i"/>
          </m:rPr>
          <m:t>p</m:t>
        </m:r>
        <m:r>
          <m:rPr>
            <m:sty m:val="i"/>
          </m:rPr>
          <m:t>λ</m:t>
        </m:r>
      </m:oMath>
      <w:r>
        <w:rPr/>
        <w:t xml:space="preserve"> avec </w:t>
      </w:r>
      <m:oMath>
        <m:r>
          <m:rPr>
            <m:sty m:val="i"/>
          </m:rPr>
          <m:t>p</m:t>
        </m:r>
      </m:oMath>
      <w:r>
        <w:rPr/>
        <w:t xml:space="preserve"> un entier et </w:t>
      </w:r>
      <m:oMath>
        <m:r>
          <m:rPr>
            <m:sty m:val="i"/>
          </m:rPr>
          <m:t>λ</m:t>
        </m:r>
      </m:oMath>
      <w:r>
        <w:rPr>
          <w:rFonts w:eastAsia="Georgia" w:cs="Georgia" w:ascii="Georgia" w:hAnsi="Georgia"/>
        </w:rPr>
        <w:t xml:space="preserve"> la longueur d'onde de l'onde dans le vide, l'onde émergente est polarisée rectilignement dans la même direction que l'onde incidente.</w:t>
      </w:r>
    </w:p>
    <w:p>
      <w:pPr>
        <w:spacing w:line="271" w:before="330" w:lineRule="auto"/>
      </w:pPr>
      <w:r>
        <w:rPr>
          <w:rFonts w:eastAsia="Georgia" w:cs="Georgia" w:ascii="Georgia" w:hAnsi="Georgia"/>
          <w:b/>
          <w:sz w:val="42"/>
        </w:rPr>
        <w:t xml:space="preserve">III.C - Analyse d'une expérience</w:t>
      </w:r>
    </w:p>
    <w:p>
      <w:pPr>
        <w:spacing w:after="220" w:lineRule="auto"/>
      </w:pPr>
      <w:r>
        <w:rPr>
          <w:rFonts w:eastAsia="Georgia" w:cs="Georgia" w:ascii="Georgia" w:hAnsi="Georgia"/>
        </w:rPr>
        <w:t xml:space="preserve">Au cours de l'année scolaire </w:t>
      </w:r>
      <m:oMath>
        <m:r>
          <m:rPr>
            <m:sty m:val="p"/>
          </m:rPr>
          <m:t>2011</m:t>
        </m:r>
        <m:r>
          <m:rPr>
            <m:sty m:val="p"/>
          </m:rPr>
          <m:t>/</m:t>
        </m:r>
        <m:r>
          <m:rPr>
            <m:sty m:val="p"/>
          </m:rPr>
          <m:t>2012</m:t>
        </m:r>
      </m:oMath>
      <w:r>
        <w:rPr>
          <w:rFonts w:eastAsia="Georgia" w:cs="Georgia" w:ascii="Georgia" w:hAnsi="Georgia"/>
        </w:rPr>
        <w:t xml:space="preserve">, un groupe de quatre élèves d'une classe de terminale a réalisé une expérience de mesure de la biréfringence d'un ruban adhésif. Le principe de cette mesure est décrit dans le document annexe (situé à l'intérieur du document réponse).</w:t>
      </w:r>
    </w:p>
    <w:p>
      <w:pPr>
        <w:spacing w:line="271" w:before="330" w:lineRule="auto"/>
      </w:pPr>
      <w:r>
        <w:rPr>
          <w:rFonts w:eastAsia="Georgia" w:cs="Georgia" w:ascii="Georgia" w:hAnsi="Georgia"/>
          <w:b/>
          <w:sz w:val="42"/>
        </w:rPr>
        <w:t xml:space="preserve">III.C.1) Présentation du dispositif</w:t>
      </w:r>
    </w:p>
    <w:p>
      <w:pPr>
        <w:spacing w:after="220" w:lineRule="auto"/>
      </w:pPr>
      <w:r>
        <w:rPr>
          <w:rFonts w:eastAsia="Georgia" w:cs="Georgia" w:ascii="Georgia" w:hAnsi="Georgia"/>
        </w:rPr>
        <w:t xml:space="preserve">a) Comment peut-on s'assurer expérimentalement qu'un polariseur et un analyseur sont croisés (i.e. orientés selon des directions orthogonales entre elles) ?</w:t>
      </w:r>
      <w:r>
        <w:rPr/>
        <w:br w:type="textWrapping"/>
      </w:r>
      <w:r>
        <w:rPr>
          <w:rFonts w:eastAsia="Georgia" w:cs="Georgia" w:ascii="Georgia" w:hAnsi="Georgia"/>
        </w:rPr>
        <w:t xml:space="preserve">b) Comment procéder pour orienter les lignes neutres du ruban adhésif à </w:t>
      </w:r>
      <m:oMath>
        <m:sSup>
          <m:sSupPr/>
          <m:e>
            <m:r>
              <m:rPr>
                <m:sty m:val="p"/>
              </m:rPr>
              <m:t>45</m:t>
            </m:r>
          </m:e>
          <m:sup>
            <m:r>
              <m:rPr>
                <m:sty m:val="p"/>
              </m:rPr>
              <m:t>∘</m:t>
            </m:r>
          </m:sup>
        </m:sSup>
      </m:oMath>
      <w:r>
        <w:rPr/>
        <w:t xml:space="preserve"> par rapport aux axes du polariseur et de l'analyseur?</w:t>
      </w:r>
    </w:p>
    <w:p>
      <w:pPr>
        <w:spacing w:line="271" w:before="330" w:lineRule="auto"/>
      </w:pPr>
      <w:r>
        <w:rPr>
          <w:rFonts w:eastAsia="Georgia" w:cs="Georgia" w:ascii="Georgia" w:hAnsi="Georgia"/>
          <w:b/>
          <w:sz w:val="42"/>
        </w:rPr>
        <w:t xml:space="preserve">III.C.2) Étalonnage du spectrogoniomètre</w:t>
      </w:r>
    </w:p>
    <w:p>
      <w:pPr>
        <w:spacing w:after="220" w:lineRule="auto"/>
      </w:pPr>
      <w:r>
        <w:rPr>
          <w:rFonts w:eastAsia="Georgia" w:cs="Georgia" w:ascii="Georgia" w:hAnsi="Georgia"/>
        </w:rPr>
        <w:t xml:space="preserve">a) En admettant que le réseau est éclairé sous incidence normale tout au long de l'expérience et que les relevés effectués correspondent au spectre d'ordre 1, déterminer le pas a du réseau utilisé.</w:t>
      </w:r>
      <w:r>
        <w:rPr/>
        <w:br w:type="textWrapping"/>
      </w:r>
      <w:r>
        <w:rPr/>
        <w:t xml:space="preserve">b) En pratique, quelles sont les principales sources d'incertitude sur la valeur de </w:t>
      </w:r>
      <m:oMath>
        <m:r>
          <m:rPr>
            <m:sty m:val="i"/>
          </m:rPr>
          <m:t>a</m:t>
        </m:r>
      </m:oMath>
      <w:r>
        <w:rPr/>
        <w:t xml:space="preserve"> ainsi obtenue ?</w:t>
      </w:r>
    </w:p>
    <w:p>
      <w:pPr>
        <w:spacing w:line="271" w:before="330" w:lineRule="auto"/>
      </w:pPr>
      <w:r>
        <w:rPr>
          <w:rFonts w:eastAsia="Georgia" w:cs="Georgia" w:ascii="Georgia" w:hAnsi="Georgia"/>
          <w:b/>
          <w:sz w:val="42"/>
        </w:rPr>
        <w:t xml:space="preserve">III.C.3) Mesure de la biréfringence du Scotch </w:t>
      </w:r>
      <m:oMath>
        <m:sSup>
          <m:sSupPr>
            <m:ctrlPr>
              <w:rPr>
                <w:rFonts w:ascii="Cambria Math" w:hAnsi="Cambria Math"/>
                <w:sz w:val="42"/>
              </w:rPr>
            </m:ctrlPr>
          </m:sSupPr>
          <m:e>
            <m:r>
              <m:t xml:space="preserve"> </m:t>
            </m:r>
          </m:e>
          <m:sup>
            <m:r>
              <m:rPr>
                <m:sty m:val="p"/>
              </m:rPr>
              <w:rPr>
                <w:sz w:val="42"/>
              </w:rPr>
              <m:t>®</m:t>
            </m:r>
          </m:sup>
        </m:sSup>
      </m:oMath>
    </w:p>
    <w:p>
      <w:pPr>
        <w:spacing w:after="220" w:lineRule="auto"/>
      </w:pPr>
      <w:r>
        <w:rPr>
          <w:rFonts w:eastAsia="Georgia" w:cs="Georgia" w:ascii="Georgia" w:hAnsi="Georgia"/>
        </w:rPr>
        <w:t xml:space="preserve">a) D'après l'étude réalisée dans la sous-partie III.B, à quoi correspondent les « raies d'absorption » observées ?</w:t>
      </w:r>
      <w:r>
        <w:rPr/>
        <w:br w:type="textWrapping"/>
      </w:r>
      <w:r>
        <w:rPr>
          <w:rFonts w:eastAsia="Georgia" w:cs="Georgia" w:ascii="Georgia" w:hAnsi="Georgia"/>
        </w:rPr>
        <w:t xml:space="preserve">b) «En observant les spectres de la lumière après l'analyseur pour une ou deux épaisseurs de Scotch </w:t>
      </w:r>
      <m:oMath>
        <m:sSup>
          <m:sSupPr/>
          <m:e>
            <m:r>
              <m:t xml:space="preserve"> </m:t>
            </m:r>
          </m:e>
          <m:sup>
            <m:r>
              <m:rPr>
                <m:sty m:val="i"/>
              </m:rPr>
              <m:t>®</m:t>
            </m:r>
          </m:sup>
        </m:sSup>
      </m:oMath>
      <w:r>
        <w:rPr>
          <w:rFonts w:eastAsia="Georgia" w:cs="Georgia" w:ascii="Georgia" w:hAnsi="Georgia"/>
        </w:rPr>
        <w:t xml:space="preserve">, on remarque que les spectres sont continus. On observe à partir de trois épaisseurs une première raie d'absorption. » En déduire une estimation de la valeur maximale de </w:t>
      </w:r>
      <m:oMath>
        <m:r>
          <m:rPr>
            <m:sty m:val="p"/>
          </m:rPr>
          <m:t>Δ</m:t>
        </m:r>
        <m:r>
          <m:rPr>
            <m:sty m:val="i"/>
          </m:rPr>
          <m:t>n</m:t>
        </m:r>
      </m:oMath>
      <w:r>
        <w:rPr>
          <w:rFonts w:eastAsia="Georgia" w:cs="Georgia" w:ascii="Georgia" w:hAnsi="Georgia"/>
        </w:rPr>
        <w:t xml:space="preserve"> sachant que l'épaisseur d'une couche du ruban adhésif utilisé est </w:t>
      </w:r>
      <m:oMath>
        <m:r>
          <m:rPr>
            <m:sty m:val="i"/>
          </m:rPr>
          <m:t>e</m:t>
        </m:r>
        <m:r>
          <m:rPr>
            <m:sty m:val="p"/>
          </m:rPr>
          <m:t>=</m:t>
        </m:r>
        <m:r>
          <m:rPr>
            <m:sty m:val="p"/>
          </m:rPr>
          <m:t>28</m:t>
        </m:r>
        <m:r>
          <m:rPr>
            <m:sty m:val="p"/>
          </m:rPr>
          <m:t>,</m:t>
        </m:r>
        <m:r>
          <m:rPr>
            <m:sty m:val="p"/>
          </m:rPr>
          <m:t>0</m:t>
        </m:r>
        <m:r>
          <m:rPr>
            <m:sty m:val="i"/>
          </m:rPr>
          <m:t>μ</m:t>
        </m:r>
        <m:r>
          <m:rPr>
            <m:nor/>
          </m:rPr>
          <m:t xml:space="preserve"> </m:t>
        </m:r>
        <m:r>
          <m:rPr>
            <m:sty m:val="p"/>
          </m:rPr>
          <m:t>m</m:t>
        </m:r>
      </m:oMath>
      <w:r>
        <w:rPr/>
        <w:t xml:space="preserve">.</w:t>
      </w:r>
      <w:r>
        <w:rPr/>
        <w:br w:type="textWrapping"/>
      </w:r>
      <w:r>
        <w:rPr>
          <w:rFonts w:eastAsia="Georgia" w:cs="Georgia" w:ascii="Georgia" w:hAnsi="Georgia"/>
        </w:rPr>
        <w:t xml:space="preserve">c) À partir des différents résultats présentés dans le document et de ceux établis précédemment, proposer une autre valeur expérimentale de </w:t>
      </w:r>
      <m:oMath>
        <m:r>
          <m:rPr>
            <m:sty m:val="p"/>
          </m:rPr>
          <m:t>Δ</m:t>
        </m:r>
        <m:r>
          <m:rPr>
            <m:sty m:val="i"/>
          </m:rPr>
          <m:t>n</m:t>
        </m:r>
      </m:oMath>
      <w:r>
        <w:rPr>
          <w:rFonts w:eastAsia="Georgia" w:cs="Georgia" w:ascii="Georgia" w:hAnsi="Georgia"/>
        </w:rPr>
        <w:t xml:space="preserve"> pour le ruban adhésif étudié. Comparer à celle obtenue par les auteurs du document et commenter.</w:t>
      </w:r>
      <w:r>
        <w:rPr/>
        <w:br w:type="textWrapping"/>
      </w:r>
      <w:r>
        <w:rPr>
          <w:rFonts w:eastAsia="Georgia" w:cs="Georgia" w:ascii="Georgia" w:hAnsi="Georgia"/>
        </w:rPr>
        <w:t xml:space="preserve">III.C.4) Le dispositif {polariseur - ruban adhésif - analyseur} est en fait analogue à l'interféromètre de Mach-Zehnder étudié dans la sous-partie III.A.</w:t>
      </w:r>
      <w:r>
        <w:rPr/>
        <w:br w:type="textWrapping"/>
      </w:r>
      <w:r>
        <w:rPr>
          <w:rFonts w:eastAsia="Georgia" w:cs="Georgia" w:ascii="Georgia" w:hAnsi="Georgia"/>
        </w:rPr>
        <w:t xml:space="preserve">a) À quoi correspondent les deux bras de l'interféromètre ? Quel élément permet ici de réaliser la division d'amplitude?</w:t>
      </w:r>
      <w:r>
        <w:rPr/>
        <w:br w:type="textWrapping"/>
      </w:r>
      <w:r>
        <w:rPr>
          <w:rFonts w:eastAsia="Georgia" w:cs="Georgia" w:ascii="Georgia" w:hAnsi="Georgia"/>
        </w:rPr>
        <w:t xml:space="preserve">b) Justifier la partie en italique dans l'affirmation suivante: «La plaque de verre est orientée de sorte que les lignes neutres du Scotch </w:t>
      </w:r>
      <m:oMath>
        <m:sSup>
          <m:sSupPr/>
          <m:e>
            <m:r>
              <m:t xml:space="preserve"> </m:t>
            </m:r>
          </m:e>
          <m:sup>
            <m:r>
              <m:rPr>
                <m:sty m:val="p"/>
              </m:rPr>
              <m:t>(</m:t>
            </m:r>
            <m:r>
              <m:rPr>
                <m:sty m:val="p"/>
              </m:rPr>
              <m:t>1</m:t>
            </m:r>
            <m:r>
              <m:rPr>
                <m:sty m:val="p"/>
              </m:rPr>
              <m:t>)</m:t>
            </m:r>
          </m:sup>
        </m:sSup>
      </m:oMath>
      <w:r>
        <w:rPr>
          <w:rFonts w:eastAsia="Georgia" w:cs="Georgia" w:ascii="Georgia" w:hAnsi="Georgia"/>
        </w:rPr>
        <w:t xml:space="preserve"> soient orientées de </w:t>
      </w:r>
      <m:oMath>
        <m:sSup>
          <m:sSupPr/>
          <m:e>
            <m:r>
              <m:rPr>
                <m:sty m:val="p"/>
              </m:rPr>
              <m:t>45</m:t>
            </m:r>
          </m:e>
          <m:sup>
            <m:r>
              <m:rPr>
                <m:sty m:val="p"/>
              </m:rPr>
              <m:t>∘</m:t>
            </m:r>
          </m:sup>
        </m:sSup>
      </m:oMath>
      <w:r>
        <w:rPr>
          <w:rFonts w:eastAsia="Georgia" w:cs="Georgia" w:ascii="Georgia" w:hAnsi="Georgia"/>
        </w:rPr>
        <w:t xml:space="preserve"> par rapport aux axes du polariseur et de l'analyseur (car c'est dans cette position que les contrastes sont les plus importants) ».</w:t>
      </w:r>
    </w:p>
    <w:p>
      <w:pPr>
        <w:spacing w:line="271" w:before="330" w:lineRule="auto"/>
      </w:pPr>
      <w:r>
        <w:rPr>
          <w:rFonts w:eastAsia="Georgia" w:cs="Georgia" w:ascii="Georgia" w:hAnsi="Georgia"/>
          <w:b/>
          <w:sz w:val="42"/>
        </w:rPr>
        <w:t xml:space="preserve">IV Obtention de graphène par le procédé d'exfoliation «au Scotch </w:t>
      </w:r>
      <m:oMath>
        <m:sSup>
          <m:sSupPr>
            <m:ctrlPr>
              <w:rPr>
                <w:rFonts w:ascii="Cambria Math" w:hAnsi="Cambria Math"/>
                <w:sz w:val="42"/>
              </w:rPr>
            </m:ctrlPr>
          </m:sSupPr>
          <m:e>
            <m:r>
              <m:t xml:space="preserve"> </m:t>
            </m:r>
          </m:e>
          <m:sup>
            <m:r>
              <m:rPr>
                <m:sty m:val="p"/>
              </m:rPr>
              <w:rPr>
                <w:sz w:val="42"/>
              </w:rPr>
              <m:t>®</m:t>
            </m:r>
          </m:sup>
        </m:sSup>
      </m:oMath>
      <w:r>
        <w:rPr>
          <w:rFonts w:eastAsia="Georgia" w:cs="Georgia" w:ascii="Georgia" w:hAnsi="Georgia"/>
          <w:b/>
          <w:sz w:val="42"/>
        </w:rPr>
        <w:t xml:space="preserve"> »</w:t>
      </w:r>
    </w:p>
    <w:p>
      <w:pPr>
        <w:spacing w:after="220" w:lineRule="auto"/>
      </w:pPr>
      <w:r>
        <w:rPr>
          <w:rFonts w:eastAsia="Georgia" w:cs="Georgia" w:ascii="Georgia" w:hAnsi="Georgia"/>
        </w:rPr>
        <w:t xml:space="preserve">Le graphène est un cristal bidimensionnel, constitué d'atomes de carbone répartis régulièrement sur un réseau hexagonal en forme de nid d'abeille. En appliquant un simple morceau de Scotch </w:t>
      </w:r>
      <m:oMath>
        <m:sSup>
          <m:sSupPr/>
          <m:e>
            <m:r>
              <m:t xml:space="preserve"> </m:t>
            </m:r>
          </m:e>
          <m:sup>
            <m:r>
              <m:rPr>
                <m:sty m:val="i"/>
              </m:rPr>
              <m:t>®</m:t>
            </m:r>
          </m:sup>
        </m:sSup>
      </m:oMath>
      <w:r>
        <w:rPr>
          <w:rFonts w:eastAsia="Georgia" w:cs="Georgia" w:ascii="Georgia" w:hAnsi="Georgia"/>
        </w:rPr>
        <w:t xml:space="preserve"> sur un cristal de graphite, les physiciens Konstantin Novoselov et Andre Geim ont réussi, en 2004, à isoler et à observer une unique feuille de graphène. Ils ont reçu le prix Nobel de physique en 2010 pour ces travaux. Le graphène s'est avéré être un matériau fascinant, aux propriétés électroniques exceptionnelles et donne lieu, depuis 2004, à des recherches variées à la fois en physique fondamentale et en physique appliquée.</w:t>
      </w:r>
    </w:p>
    <w:p>
      <w:pPr>
        <w:spacing w:line="271" w:before="330" w:lineRule="auto"/>
      </w:pPr>
      <w:r>
        <w:rPr>
          <w:b/>
          <w:sz w:val="42"/>
        </w:rPr>
        <w:t xml:space="preserve">IV.A - Diagramme de phases du carbone</w:t>
      </w:r>
    </w:p>
    <w:p>
      <w:pPr>
        <w:spacing w:after="220" w:lineRule="auto"/>
      </w:pPr>
      <w:r>
        <w:rPr>
          <w:rFonts w:eastAsia="Georgia" w:cs="Georgia" w:ascii="Georgia" w:hAnsi="Georgia"/>
        </w:rPr>
        <w:t xml:space="preserve">Le carbone solide existe sous deux variétés allotropiques aux propriétés physico-chimiques très différentes : le diamant (dur, cassant, transparent, isolant) et le graphite (mou, noir, conducteur). On donne sur la figure 8 le diagramme d'état du carbone.</w:t>
      </w:r>
    </w:p>
    <w:p>
      <w:pPr>
        <w:spacing w:lineRule="auto"/>
        <w:jc w:val="center"/>
      </w:pPr>
      <w:r>
        <w:rPr/>
        <w:drawing>
          <wp:inline distB="0" distL="0" distR="0" distT="0">
            <wp:extent cx="5486400" cy="5119825"/>
            <wp:effectExtent b="0" l="0" r="0" t="0"/>
            <wp:docPr id="8" name="image-4c616175787c0fcf22e30614a7cd75f101f381d3.jpg"/>
            <a:graphic>
              <a:graphicData uri="http://schemas.openxmlformats.org/drawingml/2006/picture">
                <pic:pic>
                  <pic:nvPicPr>
                    <pic:cNvPr id="8" name="image-4c616175787c0fcf22e30614a7cd75f101f381d3.jpg" descr=""/>
                    <pic:cNvPicPr/>
                  </pic:nvPicPr>
                  <pic:blipFill>
                    <a:blip r:embed="rId12" cstate="print"/>
                    <a:srcRect b="0" l="0" r="0" t="0"/>
                    <a:stretch>
                      <a:fillRect/>
                    </a:stretch>
                  </pic:blipFill>
                  <pic:spPr>
                    <a:xfrm>
                      <a:off x="0" y="0"/>
                      <a:ext cx="5486400" cy="5119825"/>
                    </a:xfrm>
                    <a:prstGeom prst="rect"/>
                  </pic:spPr>
                </pic:pic>
              </a:graphicData>
            </a:graphic>
          </wp:inline>
        </w:drawing>
      </w:r>
    </w:p>
    <w:p>
      <w:pPr>
        <w:spacing w:lineRule="auto"/>
      </w:pPr>
      <w:r>
        <w:rPr/>
        <w:t xml:space="preserve">Figure 8 Diagramme de phases du carbone</w:t>
      </w:r>
    </w:p>
    <w:p>
      <w:pPr>
        <w:spacing w:after="220" w:lineRule="auto"/>
      </w:pPr>
      <w:r>
        <w:rPr>
          <w:rFonts w:eastAsia="Georgia" w:cs="Georgia" w:ascii="Georgia" w:hAnsi="Georgia"/>
        </w:rPr>
        <w:t xml:space="preserve">IV.A.1) Quelle est la forme stable du carbone à </w:t>
      </w:r>
      <m:oMath>
        <m:sSup>
          <m:sSupPr/>
          <m:e>
            <m:r>
              <m:rPr>
                <m:sty m:val="p"/>
              </m:rPr>
              <m:t>0</m:t>
            </m:r>
          </m:e>
          <m:sup>
            <m:r>
              <m:rPr>
                <m:sty m:val="p"/>
              </m:rPr>
              <m:t>∘</m:t>
            </m:r>
          </m:sup>
        </m:sSup>
        <m:r>
          <m:rPr>
            <m:sty m:val="p"/>
          </m:rPr>
          <m:t>C</m:t>
        </m:r>
      </m:oMath>
      <w:r>
        <w:rPr/>
        <w:t xml:space="preserve"> sous 1 bar ?</w:t>
      </w:r>
      <w:r>
        <w:rPr/>
        <w:br w:type="textWrapping"/>
      </w:r>
      <w:r>
        <w:rPr>
          <w:rFonts w:eastAsia="Georgia" w:cs="Georgia" w:ascii="Georgia" w:hAnsi="Georgia"/>
        </w:rPr>
        <w:t xml:space="preserve">IV.A.2) Sous quelles pressions le graphite peut-il se transformer en diamant ? Où peut-on rencontrer de telles pressions?</w:t>
      </w:r>
      <w:r>
        <w:rPr/>
        <w:br w:type="textWrapping"/>
      </w:r>
      <w:r>
        <w:rPr>
          <w:rFonts w:eastAsia="Georgia" w:cs="Georgia" w:ascii="Georgia" w:hAnsi="Georgia"/>
        </w:rPr>
        <w:t xml:space="preserve">IV.A.3) Comment expliquer que des diamants puissent être achetés dans des bijouteries ?</w:t>
      </w:r>
    </w:p>
    <w:p>
      <w:pPr>
        <w:spacing w:line="271" w:before="330" w:lineRule="auto"/>
      </w:pPr>
      <w:r>
        <w:rPr>
          <w:b/>
          <w:sz w:val="42"/>
        </w:rPr>
        <w:t xml:space="preserve">IV.B - Structure cristallographique du diamant</w:t>
      </w:r>
    </w:p>
    <w:p>
      <w:pPr>
        <w:spacing w:after="220" w:lineRule="auto"/>
      </w:pPr>
      <w:r>
        <w:rPr>
          <w:rFonts w:eastAsia="Georgia" w:cs="Georgia" w:ascii="Georgia" w:hAnsi="Georgia"/>
        </w:rPr>
        <w:t xml:space="preserve">Le diamant cristallise dans une structure cubique telle que les atomes de carbone forment un réseau cubique à faces centrées et occupent un site tétraédrique sur deux en alternance.</w:t>
      </w:r>
      <w:r>
        <w:rPr/>
        <w:br w:type="textWrapping"/>
      </w:r>
      <w:r>
        <w:rPr/>
        <w:t xml:space="preserve">IV.B.1) Dessiner la maille du diamant.</w:t>
      </w:r>
      <w:r>
        <w:rPr/>
        <w:br w:type="textWrapping"/>
      </w:r>
      <w:r>
        <w:rPr>
          <w:rFonts w:eastAsia="Georgia" w:cs="Georgia" w:ascii="Georgia" w:hAnsi="Georgia"/>
        </w:rPr>
        <w:t xml:space="preserve">IV.B.2) Quelle est la compacité de l'édifice en supposant qu'il y a tangence entre atomes de carbone les plus proches?</w:t>
      </w:r>
      <w:r>
        <w:rPr/>
        <w:br w:type="textWrapping"/>
      </w:r>
      <w:r>
        <w:rPr/>
        <w:t xml:space="preserve">IV.B.3) La masse volumique du diamant vaut </w:t>
      </w:r>
      <m:oMath>
        <m:r>
          <m:rPr>
            <m:sty m:val="p"/>
          </m:rPr>
          <m:t>3520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En déduire la distance séparant deux atomes de carbone.</w:t>
      </w:r>
    </w:p>
    <w:p>
      <w:pPr>
        <w:spacing w:line="271" w:before="330" w:lineRule="auto"/>
      </w:pPr>
      <w:r>
        <w:rPr>
          <w:b/>
          <w:sz w:val="42"/>
        </w:rPr>
        <w:t xml:space="preserve">IV.C - Structure cristallographique du graphite et comparaison</w:t>
      </w:r>
    </w:p>
    <w:p>
      <w:pPr>
        <w:spacing w:after="220" w:lineRule="auto"/>
      </w:pPr>
      <w:r>
        <w:rPr>
          <w:rFonts w:eastAsia="Georgia" w:cs="Georgia" w:ascii="Georgia" w:hAnsi="Georgia"/>
        </w:rPr>
        <w:t xml:space="preserve">Le graphite présente une structure en feuillets superposés de type ABAB . Au sein d'un même feuillet, les carbones ont une géométrie trigonale plane avec des angles de </w:t>
      </w:r>
      <m:oMath>
        <m:sSup>
          <m:sSupPr/>
          <m:e>
            <m:r>
              <m:rPr>
                <m:sty m:val="p"/>
              </m:rPr>
              <m:t>120</m:t>
            </m:r>
          </m:e>
          <m:sup>
            <m:r>
              <m:rPr>
                <m:sty m:val="p"/>
              </m:rPr>
              <m:t>∘</m:t>
            </m:r>
          </m:sup>
        </m:sSup>
      </m:oMath>
      <w:r>
        <w:rPr>
          <w:rFonts w:eastAsia="Georgia" w:cs="Georgia" w:ascii="Georgia" w:hAnsi="Georgia"/>
        </w:rPr>
        <w:t xml:space="preserve"> et des longueurs de liaison de 141 pm . La maille hexagonale associée à la structure est représentée figure 9 .</w:t>
      </w:r>
    </w:p>
    <w:p>
      <w:pPr>
        <w:spacing w:lineRule="auto"/>
        <w:jc w:val="center"/>
      </w:pPr>
      <w:r>
        <w:rPr/>
        <w:drawing>
          <wp:inline distB="0" distL="0" distR="0" distT="0">
            <wp:extent cx="5486400" cy="2009170"/>
            <wp:effectExtent b="0" l="0" r="0" t="0"/>
            <wp:docPr id="9" name="image-cbeba433abbe6d1e1e17404a08811445c4caadc3.jpg"/>
            <a:graphic>
              <a:graphicData uri="http://schemas.openxmlformats.org/drawingml/2006/picture">
                <pic:pic>
                  <pic:nvPicPr>
                    <pic:cNvPr id="9" name="image-cbeba433abbe6d1e1e17404a08811445c4caadc3.jpg" descr=""/>
                    <pic:cNvPicPr/>
                  </pic:nvPicPr>
                  <pic:blipFill>
                    <a:blip r:embed="rId13" cstate="print"/>
                    <a:srcRect b="0" l="0" r="0" t="0"/>
                    <a:stretch>
                      <a:fillRect/>
                    </a:stretch>
                  </pic:blipFill>
                  <pic:spPr>
                    <a:xfrm>
                      <a:off x="0" y="0"/>
                      <a:ext cx="5486400" cy="2009170"/>
                    </a:xfrm>
                    <a:prstGeom prst="rect"/>
                  </pic:spPr>
                </pic:pic>
              </a:graphicData>
            </a:graphic>
          </wp:inline>
        </w:drawing>
      </w:r>
    </w:p>
    <w:p>
      <w:pPr>
        <w:spacing w:lineRule="auto"/>
      </w:pPr>
      <w:r>
        <w:rPr>
          <w:rFonts w:eastAsia="Georgia" w:cs="Georgia" w:ascii="Georgia" w:hAnsi="Georgia"/>
        </w:rPr>
        <w:t xml:space="preserve">Figure 9 À gauche: représentation schématique des feuillets du graphite vus de dessus. À droite : maille hexagonale du graphite</w:t>
      </w:r>
    </w:p>
    <w:p>
      <w:pPr>
        <w:spacing w:after="220" w:lineRule="auto"/>
      </w:pPr>
      <w:r>
        <w:rPr>
          <w:rFonts w:eastAsia="Georgia" w:cs="Georgia" w:ascii="Georgia" w:hAnsi="Georgia"/>
        </w:rPr>
        <w:t xml:space="preserve">IV.C.1) Déterminer le nombre d'atomes en propre par maille.</w:t>
      </w:r>
      <w:r>
        <w:rPr/>
        <w:br w:type="textWrapping"/>
      </w:r>
      <w:r>
        <w:rPr>
          <w:rFonts w:eastAsia="Georgia" w:cs="Georgia" w:ascii="Georgia" w:hAnsi="Georgia"/>
        </w:rPr>
        <w:t xml:space="preserve">IV.C.2) La densité du graphite étant comprise entre 2,09 et 2,23 , en déduire une fourchette pour la distance entre deux feuillets.</w:t>
      </w:r>
      <w:r>
        <w:rPr/>
        <w:br w:type="textWrapping"/>
      </w:r>
      <w:r>
        <w:rPr>
          <w:rFonts w:eastAsia="Georgia" w:cs="Georgia" w:ascii="Georgia" w:hAnsi="Georgia"/>
        </w:rPr>
        <w:t xml:space="preserve">IV.C.3) En comparant les différentes distances entre atomes de carbone rencontrées dans cette partie, discuter la nature des liaisons C-C dans le diamant, dans les feuillets du graphite et entre les feuillets du graphite. Commenter.</w:t>
      </w:r>
    </w:p>
    <w:p>
      <w:pPr>
        <w:spacing w:line="271" w:before="330" w:lineRule="auto"/>
      </w:pPr>
      <w:r>
        <w:rPr>
          <w:rFonts w:eastAsia="Georgia" w:cs="Georgia" w:ascii="Georgia" w:hAnsi="Georgia"/>
          <w:b/>
          <w:sz w:val="42"/>
        </w:rPr>
        <w:t xml:space="preserve">IV.D - Du graphite au graphène</w:t>
      </w:r>
    </w:p>
    <w:p>
      <w:pPr>
        <w:spacing w:after="220" w:lineRule="auto"/>
      </w:pPr>
      <w:r>
        <w:rPr>
          <w:rFonts w:eastAsia="Georgia" w:cs="Georgia" w:ascii="Georgia" w:hAnsi="Georgia"/>
        </w:rPr>
        <w:t xml:space="preserve">Le graphène correspond à un unique feuillet d'atomes de carbones constituant le graphite. La figure 10 explique comment obtenir un tel feuillet à partir d'un bloc de graphite (tiré d'une mine de crayon par exemple) et d'un morceau de ruban adhésif.</w:t>
      </w:r>
      <w:r>
        <w:rPr/>
        <w:br w:type="textWrapping"/>
      </w:r>
    </w:p>
    <w:p>
      <w:pPr>
        <w:spacing w:lineRule="auto"/>
        <w:jc w:val="center"/>
      </w:pPr>
      <w:r>
        <w:rPr/>
        <w:drawing>
          <wp:inline distB="0" distL="0" distR="0" distT="0">
            <wp:extent cx="5362575" cy="5934075"/>
            <wp:effectExtent b="0" l="0" r="0" t="0"/>
            <wp:docPr id="10" name="image-dd368c800e68f908fefe9e1cf8b019f11a3f9e7f.jpg"/>
            <a:graphic>
              <a:graphicData uri="http://schemas.openxmlformats.org/drawingml/2006/picture">
                <pic:pic>
                  <pic:nvPicPr>
                    <pic:cNvPr id="10" name="image-dd368c800e68f908fefe9e1cf8b019f11a3f9e7f.jpg" descr=""/>
                    <pic:cNvPicPr/>
                  </pic:nvPicPr>
                  <pic:blipFill>
                    <a:blip r:embed="rId14" cstate="print"/>
                    <a:srcRect b="0" l="0" r="0" t="0"/>
                    <a:stretch>
                      <a:fillRect/>
                    </a:stretch>
                  </pic:blipFill>
                  <pic:spPr>
                    <a:xfrm>
                      <a:off x="0" y="0"/>
                      <a:ext cx="5362575" cy="5934075"/>
                    </a:xfrm>
                    <a:prstGeom prst="rect"/>
                  </pic:spPr>
                </pic:pic>
              </a:graphicData>
            </a:graphic>
          </wp:inline>
        </w:drawing>
      </w:r>
    </w:p>
    <w:p>
      <w:pPr>
        <w:spacing w:lineRule="auto"/>
      </w:pPr>
      <w:r>
        <w:rPr/>
        <w:t xml:space="preserve">2 This layer of carbon is thinned further by pressing it on to other layers of tape</w:t>
      </w:r>
    </w:p>
    <w:p>
      <w:pPr>
        <w:spacing w:lineRule="auto"/>
        <w:jc w:val="center"/>
      </w:pPr>
      <w:r>
        <w:rPr/>
        <w:drawing>
          <wp:inline distB="0" distL="0" distR="0" distT="0">
            <wp:extent cx="5257800" cy="2105025"/>
            <wp:effectExtent b="0" l="0" r="0" t="0"/>
            <wp:docPr id="11" name="image-bfc1d6766abd3901fe58a19d79e8f6c999971cd9.jpg"/>
            <a:graphic>
              <a:graphicData uri="http://schemas.openxmlformats.org/drawingml/2006/picture">
                <pic:pic>
                  <pic:nvPicPr>
                    <pic:cNvPr id="11" name="image-bfc1d6766abd3901fe58a19d79e8f6c999971cd9.jpg" descr=""/>
                    <pic:cNvPicPr/>
                  </pic:nvPicPr>
                  <pic:blipFill>
                    <a:blip r:embed="rId15" cstate="print"/>
                    <a:srcRect b="0" l="0" r="0" t="0"/>
                    <a:stretch>
                      <a:fillRect/>
                    </a:stretch>
                  </pic:blipFill>
                  <pic:spPr>
                    <a:xfrm>
                      <a:off x="0" y="0"/>
                      <a:ext cx="5257800" cy="2105025"/>
                    </a:xfrm>
                    <a:prstGeom prst="rect"/>
                  </pic:spPr>
                </pic:pic>
              </a:graphicData>
            </a:graphic>
          </wp:inline>
        </w:drawing>
      </w:r>
    </w:p>
    <w:p>
      <w:pPr>
        <w:spacing w:lineRule="auto"/>
      </w:pPr>
      <w:r>
        <w:rPr/>
        <w:t xml:space="preserve">3 The tape is finally pressed on to a very smooth substrate such as silicon then peeled off, leaving a graphene layer a single atom thick</w:t>
      </w:r>
    </w:p>
    <w:p>
      <w:pPr>
        <w:spacing w:lineRule="auto"/>
        <w:jc w:val="center"/>
      </w:pPr>
      <w:r>
        <w:rPr/>
        <w:drawing>
          <wp:inline distB="0" distL="0" distR="0" distT="0">
            <wp:extent cx="5305425" cy="2781300"/>
            <wp:effectExtent b="0" l="0" r="0" t="0"/>
            <wp:docPr id="12" name="image-662e71f91789eaa20f7212ba5279f49f826272ff.jpg"/>
            <a:graphic>
              <a:graphicData uri="http://schemas.openxmlformats.org/drawingml/2006/picture">
                <pic:pic>
                  <pic:nvPicPr>
                    <pic:cNvPr id="12" name="image-662e71f91789eaa20f7212ba5279f49f826272ff.jpg" descr=""/>
                    <pic:cNvPicPr/>
                  </pic:nvPicPr>
                  <pic:blipFill>
                    <a:blip r:embed="rId16" cstate="print"/>
                    <a:srcRect b="0" l="0" r="0" t="0"/>
                    <a:stretch>
                      <a:fillRect/>
                    </a:stretch>
                  </pic:blipFill>
                  <pic:spPr>
                    <a:xfrm>
                      <a:off x="0" y="0"/>
                      <a:ext cx="5305425" cy="2781300"/>
                    </a:xfrm>
                    <a:prstGeom prst="rect"/>
                  </pic:spPr>
                </pic:pic>
              </a:graphicData>
            </a:graphic>
          </wp:inline>
        </w:drawing>
      </w:r>
    </w:p>
    <w:p>
      <w:pPr>
        <w:spacing w:after="220" w:lineRule="auto"/>
      </w:pPr>
      <w:r>
        <w:rPr>
          <w:rFonts w:eastAsia="Georgia" w:cs="Georgia" w:ascii="Georgia" w:hAnsi="Georgia"/>
        </w:rPr>
        <w:t xml:space="preserve">Figure 10 Illustration extraite de l'article Faster, stronger, bendier de Clive Cookson, publié dans Financial Times du 28 janvier 2013</w:t>
      </w:r>
      <w:r>
        <w:rPr/>
        <w:br w:type="textWrapping"/>
      </w:r>
      <w:r>
        <w:rPr>
          <w:rFonts w:eastAsia="Georgia" w:cs="Georgia" w:ascii="Georgia" w:hAnsi="Georgia"/>
        </w:rPr>
        <w:t xml:space="preserve">IV.D.1) À partir d'arguments qualitatifs uniquement, justifier la faisabilité d'un tel procédé.</w:t>
      </w:r>
      <w:r>
        <w:rPr/>
        <w:br w:type="textWrapping"/>
      </w:r>
      <w:r>
        <w:rPr>
          <w:rFonts w:eastAsia="Georgia" w:cs="Georgia" w:ascii="Georgia" w:hAnsi="Georgia"/>
        </w:rPr>
        <w:t xml:space="preserve">IV.D.2) Dans le domaine de la recherche, le graphène est particulièrement étudié pour ses propriétés électroniques exceptionnelles. Comment expliquer simplement les propriétés conductrices du graphène ?</w:t>
      </w:r>
    </w:p>
    <w:p>
      <w:pPr>
        <w:spacing w:line="271" w:before="330" w:lineRule="auto"/>
      </w:pPr>
      <w:r>
        <w:rPr>
          <w:rFonts w:eastAsia="Georgia" w:cs="Georgia" w:ascii="Georgia" w:hAnsi="Georgia"/>
          <w:b/>
          <w:sz w:val="42"/>
        </w:rPr>
        <w:t xml:space="preserve">Numéro de place</w:t>
      </w:r>
    </w:p>
    <w:p>
      <w:pPr>
        <w:spacing w:after="220" w:lineRule="auto"/>
      </w:pPr>
      <w:r>
        <w:rPr>
          <w:rFonts w:eastAsia="Georgia" w:cs="Georgia" w:ascii="Georgia" w:hAnsi="Georgia"/>
        </w:rPr>
        <w:t xml:space="preserve">Numéro dinscription</w:t>
      </w:r>
    </w:p>
    <w:p>
      <w:pPr>
        <w:spacing w:line="271" w:before="330" w:lineRule="auto"/>
      </w:pPr>
      <w:r>
        <w:rPr>
          <w:b/>
          <w:sz w:val="42"/>
        </w:rPr>
        <w:t xml:space="preserve">Nom</w:t>
      </w:r>
    </w:p>
    <w:p>
      <w:pPr>
        <w:spacing w:after="220" w:lineRule="auto"/>
      </w:pPr>
      <w:r>
        <w:rPr/>
        <w:t xml:space="preserve">Nom</w:t>
      </w:r>
      <w:r>
        <w:rPr/>
        <w:br w:type="textWrapping"/>
      </w:r>
      <w:r>
        <w:rPr>
          <w:rFonts w:eastAsia="Georgia" w:cs="Georgia" w:ascii="Georgia" w:hAnsi="Georgia"/>
        </w:rPr>
        <w:t xml:space="preserve">Prénom</w:t>
      </w:r>
      <w:r>
        <w:rPr/>
        <w:br w:type="textWrapping"/>
      </w:r>
    </w:p>
    <w:p>
      <w:pPr>
        <w:spacing w:lineRule="auto"/>
        <w:jc w:val="center"/>
      </w:pPr>
      <w:r>
        <w:rPr/>
        <w:drawing>
          <wp:inline distB="0" distL="0" distR="0" distT="0">
            <wp:extent cx="3876675" cy="885825"/>
            <wp:effectExtent b="0" l="0" r="0" t="0"/>
            <wp:docPr id="13" name="image-82349b932815b5fafba2fda2daeaa65292131cdd.jpg"/>
            <a:graphic>
              <a:graphicData uri="http://schemas.openxmlformats.org/drawingml/2006/picture">
                <pic:pic>
                  <pic:nvPicPr>
                    <pic:cNvPr id="13" name="image-82349b932815b5fafba2fda2daeaa65292131cdd.jpg" descr=""/>
                    <pic:cNvPicPr/>
                  </pic:nvPicPr>
                  <pic:blipFill>
                    <a:blip r:embed="rId17" cstate="print"/>
                    <a:srcRect b="0" l="0" r="0" t="0"/>
                    <a:stretch>
                      <a:fillRect/>
                    </a:stretch>
                  </pic:blipFill>
                  <pic:spPr>
                    <a:xfrm>
                      <a:off x="0" y="0"/>
                      <a:ext cx="3876675" cy="885825"/>
                    </a:xfrm>
                    <a:prstGeom prst="rect"/>
                  </pic:spPr>
                </pic:pic>
              </a:graphicData>
            </a:graphic>
          </wp:inline>
        </w:drawing>
      </w:r>
    </w:p>
    <w:p>
      <w:pPr>
        <w:spacing w:after="220" w:lineRule="auto"/>
      </w:pPr>
      <w:r>
        <w:rPr/>
        <w:br w:type="textWrapping"/>
      </w:r>
      <m:oMathPara>
        <m:oMathParaPr>
          <m:jc m:val="left"/>
        </m:oMathParaPr>
        <m:oMath>
          <m:r>
            <m:rPr>
              <m:sty m:val="i"/>
            </m:rPr>
            <m:t>◻</m:t>
          </m:r>
        </m:oMath>
      </m:oMathPara>
      <w:r>
        <w:rPr/>
        <w:br w:type="textWrapping"/>
      </w:r>
      <m:oMath>
        <m:r>
          <m:rPr>
            <m:sty m:val="i"/>
          </m:rPr>
          <m:t>◻</m:t>
        </m:r>
      </m:oMath>
      <w:r>
        <w:rPr/>
        <w:t xml:space="preserve"> Signature</w:t>
      </w:r>
      <w:r>
        <w:rPr/>
        <w:br w:type="textWrapping"/>
      </w:r>
      <w:r>
        <w:rPr>
          <w:rFonts w:eastAsia="Georgia" w:cs="Georgia" w:ascii="Georgia" w:hAnsi="Georgia"/>
        </w:rPr>
        <w:t xml:space="preserve">concours centrale•supélec</w:t>
      </w:r>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r>
        <w:rPr>
          <w:rFonts w:eastAsia="Georgia" w:cs="Georgia" w:ascii="Georgia" w:hAnsi="Georgia"/>
        </w:rPr>
        <w:t xml:space="preserve">Épreuve ：Physique－chimie ZMP</w:t>
      </w:r>
    </w:p>
    <w:p>
      <w:pPr>
        <w:spacing w:after="220" w:lineRule="auto"/>
      </w:pPr>
      <w:r>
        <w:rPr>
          <w:rFonts w:eastAsia="Georgia" w:cs="Georgia" w:ascii="Georgia" w:hAnsi="Georgia"/>
        </w:rPr>
        <w:t xml:space="preserve">Ne rien porter sur cette feuille avant d＇avoir complètement rempli l＇entête</w:t>
      </w:r>
      <w:r>
        <w:rPr/>
        <w:br w:type="textWrapping"/>
      </w:r>
      <w:r>
        <w:rPr/>
        <w:t xml:space="preserve">Feville </w:t>
      </w:r>
      <m:oMath>
        <m:r>
          <m:rPr>
            <m:sty m:val="i"/>
          </m:rPr>
          <m:t>◻</m:t>
        </m:r>
      </m:oMath>
      <w:r>
        <w:rPr>
          <w:rFonts w:eastAsia="Georgia" w:cs="Georgia" w:ascii="Georgia" w:hAnsi="Georgia"/>
        </w:rPr>
        <w:t xml:space="preserve"> ／ </w:t>
      </w:r>
      <m:oMath>
        <m:r>
          <m:rPr>
            <m:sty m:val="i"/>
          </m:rPr>
          <m:t>◻</m:t>
        </m:r>
      </m:oMath>
    </w:p>
    <w:p>
      <w:pPr>
        <w:spacing w:lineRule="auto"/>
        <w:jc w:val="center"/>
      </w:pPr>
      <w:r>
        <w:rPr/>
        <w:drawing>
          <wp:inline distB="0" distL="0" distR="0" distT="0">
            <wp:extent cx="5448300" cy="8201025"/>
            <wp:effectExtent b="0" l="0" r="0" t="0"/>
            <wp:docPr id="14" name="image-bbf27605aa96c3b84e972073c37bc35c7d09e808.jpg"/>
            <a:graphic>
              <a:graphicData uri="http://schemas.openxmlformats.org/drawingml/2006/picture">
                <pic:pic>
                  <pic:nvPicPr>
                    <pic:cNvPr id="14" name="image-bbf27605aa96c3b84e972073c37bc35c7d09e808.jpg" descr=""/>
                    <pic:cNvPicPr/>
                  </pic:nvPicPr>
                  <pic:blipFill>
                    <a:blip r:embed="rId18" cstate="print"/>
                    <a:srcRect b="0" l="0" r="0" t="0"/>
                    <a:stretch>
                      <a:fillRect/>
                    </a:stretch>
                  </pic:blipFill>
                  <pic:spPr>
                    <a:xfrm>
                      <a:off x="0" y="0"/>
                      <a:ext cx="5448300" cy="8201025"/>
                    </a:xfrm>
                    <a:prstGeom prst="rect"/>
                  </pic:spPr>
                </pic:pic>
              </a:graphicData>
            </a:graphic>
          </wp:inline>
        </w:drawing>
      </w:r>
    </w:p>
    <w:p>
      <w:pPr>
        <w:spacing w:lineRule="auto"/>
      </w:pPr>
      <w:r>
        <w:rPr>
          <w:rFonts w:eastAsia="Georgia" w:cs="Georgia" w:ascii="Georgia" w:hAnsi="Georgia"/>
        </w:rPr>
        <w:t xml:space="preserve">Figure A Résultats de la simulation numérique pour </w:t>
      </w:r>
      <m:oMath>
        <m:sSub>
          <m:sSubPr/>
          <m:e>
            <m:r>
              <m:rPr>
                <m:sty m:val="i"/>
              </m:rPr>
              <m:t>V</m:t>
            </m:r>
          </m:e>
          <m:sub>
            <m:r>
              <m:rPr>
                <m:sty m:val="i"/>
              </m:rPr>
              <m:t>p</m:t>
            </m:r>
          </m:sub>
        </m:sSub>
        <m:r>
          <m:rPr>
            <m:sty m:val="p"/>
          </m:rPr>
          <m:t>=</m:t>
        </m:r>
        <m:r>
          <m:rPr>
            <m:sty m:val="p"/>
          </m:rPr>
          <m:t>2</m:t>
        </m:r>
        <m:r>
          <m:rPr>
            <m:sty m:val="p"/>
          </m:rPr>
          <m:t>,</m:t>
        </m:r>
        <m:r>
          <m:rPr>
            <m:sty m:val="p"/>
          </m:rPr>
          <m:t>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w:t>
      </w:r>
    </w:p>
    <w:p>
      <w:pPr>
        <w:spacing w:lineRule="auto"/>
        <w:jc w:val="center"/>
      </w:pPr>
      <w:r>
        <w:rPr/>
        <w:drawing>
          <wp:inline distB="0" distL="0" distR="0" distT="0">
            <wp:extent cx="5486400" cy="5770978"/>
            <wp:effectExtent b="0" l="0" r="0" t="0"/>
            <wp:docPr id="15" name="image-d0afdbb1808810d94d7232c2ea98abd89c9b4fda.jpg"/>
            <a:graphic>
              <a:graphicData uri="http://schemas.openxmlformats.org/drawingml/2006/picture">
                <pic:pic>
                  <pic:nvPicPr>
                    <pic:cNvPr id="15" name="image-d0afdbb1808810d94d7232c2ea98abd89c9b4fda.jpg" descr=""/>
                    <pic:cNvPicPr/>
                  </pic:nvPicPr>
                  <pic:blipFill>
                    <a:blip r:embed="rId19" cstate="print"/>
                    <a:srcRect b="0" l="0" r="0" t="0"/>
                    <a:stretch>
                      <a:fillRect/>
                    </a:stretch>
                  </pic:blipFill>
                  <pic:spPr>
                    <a:xfrm>
                      <a:off x="0" y="0"/>
                      <a:ext cx="5486400" cy="577097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48300" cy="8162925"/>
            <wp:effectExtent b="0" l="0" r="0" t="0"/>
            <wp:docPr id="16" name="image-49bd8dce02f19542d78d7bc4201a8bd4d69a5d8e.jpg"/>
            <a:graphic>
              <a:graphicData uri="http://schemas.openxmlformats.org/drawingml/2006/picture">
                <pic:pic>
                  <pic:nvPicPr>
                    <pic:cNvPr id="16" name="image-49bd8dce02f19542d78d7bc4201a8bd4d69a5d8e.jpg" descr=""/>
                    <pic:cNvPicPr/>
                  </pic:nvPicPr>
                  <pic:blipFill>
                    <a:blip r:embed="rId20" cstate="print"/>
                    <a:srcRect b="0" l="0" r="0" t="0"/>
                    <a:stretch>
                      <a:fillRect/>
                    </a:stretch>
                  </pic:blipFill>
                  <pic:spPr>
                    <a:xfrm>
                      <a:off x="0" y="0"/>
                      <a:ext cx="5448300" cy="8162925"/>
                    </a:xfrm>
                    <a:prstGeom prst="rect"/>
                  </pic:spPr>
                </pic:pic>
              </a:graphicData>
            </a:graphic>
          </wp:inline>
        </w:drawing>
      </w:r>
    </w:p>
    <w:p>
      <w:pPr>
        <w:spacing w:lineRule="auto"/>
        <w:jc w:val="center"/>
      </w:pPr>
      <w:r>
        <w:rPr/>
        <w:drawing>
          <wp:inline distB="0" distL="0" distR="0" distT="0">
            <wp:extent cx="5486400" cy="5733055"/>
            <wp:effectExtent b="0" l="0" r="0" t="0"/>
            <wp:docPr id="17" name="image-ec76f4d1b99ad2360ab4052998808a52be6016b2.jpg"/>
            <a:graphic>
              <a:graphicData uri="http://schemas.openxmlformats.org/drawingml/2006/picture">
                <pic:pic>
                  <pic:nvPicPr>
                    <pic:cNvPr id="17" name="image-ec76f4d1b99ad2360ab4052998808a52be6016b2.jpg" descr=""/>
                    <pic:cNvPicPr/>
                  </pic:nvPicPr>
                  <pic:blipFill>
                    <a:blip r:embed="rId21" cstate="print"/>
                    <a:srcRect b="0" l="0" r="0" t="0"/>
                    <a:stretch>
                      <a:fillRect/>
                    </a:stretch>
                  </pic:blipFill>
                  <pic:spPr>
                    <a:xfrm>
                      <a:off x="0" y="0"/>
                      <a:ext cx="5486400" cy="5733055"/>
                    </a:xfrm>
                    <a:prstGeom prst="rect"/>
                  </pic:spPr>
                </pic:pic>
              </a:graphicData>
            </a:graphic>
          </wp:inline>
        </w:drawing>
      </w:r>
    </w:p>
    <w:p>
      <w:pPr>
        <w:spacing w:lineRule="auto"/>
      </w:pPr>
      <w:r>
        <w:rPr>
          <w:rFonts w:eastAsia="Georgia" w:cs="Georgia" w:ascii="Georgia" w:hAnsi="Georgia"/>
        </w:rPr>
        <w:t xml:space="preserve">Figure B Résultats de la simulation numérique pour </w:t>
      </w:r>
      <m:oMath>
        <m:sSub>
          <m:sSubPr/>
          <m:e>
            <m:r>
              <m:rPr>
                <m:sty m:val="i"/>
              </m:rPr>
              <m:t>V</m:t>
            </m:r>
          </m:e>
          <m:sub>
            <m:r>
              <m:rPr>
                <m:sty m:val="i"/>
              </m:rPr>
              <m:t>p</m:t>
            </m:r>
          </m:sub>
        </m:sSub>
        <m:r>
          <m:rPr>
            <m:sty m:val="p"/>
          </m:rPr>
          <m:t>=</m:t>
        </m:r>
        <m:r>
          <m:rPr>
            <m:sty m:val="p"/>
          </m:rPr>
          <m:t>20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w:t>
      </w:r>
    </w:p>
    <w:p>
      <w:pPr>
        <w:spacing w:line="271" w:before="330" w:lineRule="auto"/>
      </w:pPr>
      <w:r>
        <w:rPr>
          <w:rFonts w:eastAsia="Georgia" w:cs="Georgia" w:ascii="Georgia" w:hAnsi="Georgia"/>
          <w:b/>
          <w:sz w:val="42"/>
        </w:rPr>
        <w:t xml:space="preserve">Annexe - Une expérience de mesure de la biréfringence du Scotch </w:t>
      </w:r>
      <m:oMath>
        <m:sSup>
          <m:sSupPr>
            <m:ctrlPr>
              <w:rPr>
                <w:rFonts w:ascii="Cambria Math" w:hAnsi="Cambria Math"/>
                <w:sz w:val="42"/>
              </w:rPr>
            </m:ctrlPr>
          </m:sSupPr>
          <m:e>
            <m:r>
              <m:t xml:space="preserve"> </m:t>
            </m:r>
          </m:e>
          <m:sup>
            <m:r>
              <m:rPr>
                <m:nor/>
              </m:rPr>
              <w:rPr>
                <w:sz w:val="42"/>
              </w:rPr>
              <m:t>® </m:t>
            </m:r>
          </m:sup>
        </m:sSup>
      </m:oMath>
    </w:p>
    <w:p>
      <w:pPr>
        <w:spacing w:line="271" w:before="330" w:lineRule="auto"/>
      </w:pPr>
      <w:r>
        <w:rPr>
          <w:rFonts w:eastAsia="Georgia" w:cs="Georgia" w:ascii="Georgia" w:hAnsi="Georgia"/>
          <w:b/>
          <w:sz w:val="42"/>
        </w:rPr>
        <w:t xml:space="preserve">Présentation du dispositif</w:t>
      </w:r>
    </w:p>
    <w:p>
      <w:pPr>
        <w:spacing w:after="220" w:lineRule="auto"/>
      </w:pPr>
      <w:r>
        <w:rPr>
          <w:rFonts w:eastAsia="Georgia" w:cs="Georgia" w:ascii="Georgia" w:hAnsi="Georgia"/>
        </w:rPr>
        <w:t xml:space="preserve">Afin d'observer le phénomène de biréfringence du Scotch </w:t>
      </w:r>
      <m:oMath>
        <m:sSup>
          <m:sSupPr/>
          <m:e>
            <m:r>
              <m:t xml:space="preserve"> </m:t>
            </m:r>
          </m:e>
          <m:sup>
            <m:r>
              <m:rPr>
                <m:nor/>
              </m:rPr>
              <m:t>® </m:t>
            </m:r>
          </m:sup>
        </m:sSup>
      </m:oMath>
      <w:r>
        <w:rPr>
          <w:rFonts w:eastAsia="Georgia" w:cs="Georgia" w:ascii="Georgia" w:hAnsi="Georgia"/>
        </w:rPr>
        <w:t xml:space="preserve">, nous avons réalisé une boîte dans laquelle nous avons glissé deux polariseurs croisés de part et d'autre d'une plaque de verre circulaire pouvant pivoter autour d'un axe horizontal. Sur cette plaque de verre est collé du Scotch </w:t>
      </w:r>
      <m:oMath>
        <m:sSup>
          <m:sSupPr/>
          <m:e>
            <m:r>
              <m:t xml:space="preserve"> </m:t>
            </m:r>
          </m:e>
          <m:sup>
            <m:r>
              <m:rPr>
                <m:sty m:val="i"/>
              </m:rPr>
              <m:t>®</m:t>
            </m:r>
          </m:sup>
        </m:sSup>
      </m:oMath>
      <w:r>
        <w:rPr>
          <w:rFonts w:eastAsia="Georgia" w:cs="Georgia" w:ascii="Georgia" w:hAnsi="Georgia"/>
        </w:rPr>
        <w:t xml:space="preserve"> avec différentes épaisseurs (voir photo ci-dessous). L'ensemble est éclairé par un faisceau parallèle de lumière blanche.</w:t>
      </w:r>
    </w:p>
    <w:p>
      <w:pPr>
        <w:spacing w:lineRule="auto"/>
        <w:jc w:val="center"/>
      </w:pPr>
      <w:r>
        <w:rPr/>
        <w:drawing>
          <wp:inline distB="0" distL="0" distR="0" distT="0">
            <wp:extent cx="5486400" cy="3004457"/>
            <wp:effectExtent b="0" l="0" r="0" t="0"/>
            <wp:docPr id="18" name="image-197041af6d395b026ce10bee6af68f7b04a1d04d.jpg"/>
            <a:graphic>
              <a:graphicData uri="http://schemas.openxmlformats.org/drawingml/2006/picture">
                <pic:pic>
                  <pic:nvPicPr>
                    <pic:cNvPr id="18" name="image-197041af6d395b026ce10bee6af68f7b04a1d04d.jpg" descr=""/>
                    <pic:cNvPicPr/>
                  </pic:nvPicPr>
                  <pic:blipFill>
                    <a:blip r:embed="rId22" cstate="print"/>
                    <a:srcRect b="0" l="0" r="0" t="0"/>
                    <a:stretch>
                      <a:fillRect/>
                    </a:stretch>
                  </pic:blipFill>
                  <pic:spPr>
                    <a:xfrm>
                      <a:off x="0" y="0"/>
                      <a:ext cx="5486400" cy="3004457"/>
                    </a:xfrm>
                    <a:prstGeom prst="rect"/>
                  </pic:spPr>
                </pic:pic>
              </a:graphicData>
            </a:graphic>
          </wp:inline>
        </w:drawing>
      </w:r>
    </w:p>
    <w:p>
      <w:pPr>
        <w:spacing w:lineRule="auto"/>
      </w:pPr>
      <w:r>
        <w:rPr>
          <w:rFonts w:eastAsia="Georgia" w:cs="Georgia" w:ascii="Georgia" w:hAnsi="Georgia"/>
        </w:rPr>
        <w:t xml:space="preserve">Figure 1 Notre boîte (la lumière entre par la gauche et sort par la droite).</w:t>
      </w:r>
    </w:p>
    <w:p>
      <w:pPr>
        <w:spacing w:after="220" w:lineRule="auto"/>
      </w:pPr>
      <w:r>
        <w:rPr>
          <w:rFonts w:eastAsia="Georgia" w:cs="Georgia" w:ascii="Georgia" w:hAnsi="Georgia"/>
        </w:rPr>
        <w:t xml:space="preserve">Nous avons commencé par analyser spectralement la lumière à la sortie de l'analyseur et ce pour une, deux, trois, ..., épaisseurs de Scotch </w:t>
      </w:r>
      <m:oMath>
        <m:sSup>
          <m:sSupPr/>
          <m:e>
            <m:r>
              <m:t xml:space="preserve"> </m:t>
            </m:r>
          </m:e>
          <m:sup>
            <m:r>
              <m:rPr>
                <m:sty m:val="i"/>
              </m:rPr>
              <m:t>®</m:t>
            </m:r>
          </m:sup>
        </m:sSup>
      </m:oMath>
      <w:r>
        <w:rPr>
          <w:rFonts w:eastAsia="Georgia" w:cs="Georgia" w:ascii="Georgia" w:hAnsi="Georgia"/>
        </w:rPr>
        <w:t xml:space="preserve">. Pour chaque épaisseur, la plaque de verre est orientée de sorte que les lignes neutres du Scotch </w:t>
      </w:r>
      <m:oMath>
        <m:sSup>
          <m:sSupPr/>
          <m:e>
            <m:r>
              <m:t xml:space="preserve"> </m:t>
            </m:r>
          </m:e>
          <m:sup>
            <m:r>
              <m:rPr>
                <m:sty m:val="i"/>
              </m:rPr>
              <m:t>®</m:t>
            </m:r>
          </m:sup>
        </m:sSup>
      </m:oMath>
      <w:r>
        <w:rPr>
          <w:rFonts w:eastAsia="Georgia" w:cs="Georgia" w:ascii="Georgia" w:hAnsi="Georgia"/>
        </w:rPr>
        <w:t xml:space="preserve"> soient orientées de </w:t>
      </w:r>
      <m:oMath>
        <m:sSup>
          <m:sSupPr/>
          <m:e>
            <m:r>
              <m:rPr>
                <m:sty m:val="p"/>
              </m:rPr>
              <m:t>45</m:t>
            </m:r>
          </m:e>
          <m:sup>
            <m:r>
              <m:rPr>
                <m:sty m:val="p"/>
              </m:rPr>
              <m:t>∘</m:t>
            </m:r>
          </m:sup>
        </m:sSup>
      </m:oMath>
      <w:r>
        <w:rPr>
          <w:rFonts w:eastAsia="Georgia" w:cs="Georgia" w:ascii="Georgia" w:hAnsi="Georgia"/>
        </w:rPr>
        <w:t xml:space="preserve"> par rapport aux axes du polariseur et de l'analyseur (car c'est dans cette position que les contrastes sont les plus importants). Puis nous avons mesuré la différence d'indice entre les deux lignes neutres du Scotch </w:t>
      </w:r>
      <m:oMath>
        <m:sSup>
          <m:sSupPr/>
          <m:e>
            <m:r>
              <m:t xml:space="preserve"> </m:t>
            </m:r>
          </m:e>
          <m:sup>
            <m:r>
              <m:rPr>
                <m:sty m:val="i"/>
              </m:rPr>
              <m:t>®</m:t>
            </m:r>
          </m:sup>
        </m:sSup>
      </m:oMath>
      <w:r>
        <w:rPr/>
        <w:t xml:space="preserve">.</w:t>
      </w:r>
    </w:p>
    <w:p>
      <w:pPr>
        <w:spacing w:line="271" w:before="330" w:lineRule="auto"/>
      </w:pPr>
      <w:r>
        <w:rPr>
          <w:b/>
          <w:sz w:val="42"/>
        </w:rPr>
        <w:t xml:space="preserve">Observations des spectres</w:t>
      </w:r>
    </w:p>
    <w:p>
      <w:pPr>
        <w:spacing w:after="220" w:lineRule="auto"/>
      </w:pPr>
      <w:r>
        <w:rPr>
          <w:rFonts w:eastAsia="Georgia" w:cs="Georgia" w:ascii="Georgia" w:hAnsi="Georgia"/>
        </w:rPr>
        <w:t xml:space="preserve">Pour faire cette étude, nous avons utilisé un spectrogoniomètre. La lumière entre dans le collimateur et se dirige vers la plate-forme sur laquelle on place un réseau (ou un prisme) qui décompose la lumière. Le spectre de cette lumière peut ensuite être observé à l'aide d'une lunette. Avec un tel appareil, on peut, en pointant la lunette sur une raie d'émission ou d'absorption, relever la position de cette dernière.</w:t>
      </w:r>
    </w:p>
    <w:p>
      <w:pPr>
        <w:spacing w:lineRule="auto"/>
        <w:jc w:val="center"/>
      </w:pPr>
      <w:r>
        <w:rPr/>
        <w:drawing>
          <wp:inline distB="0" distL="0" distR="0" distT="0">
            <wp:extent cx="5486400" cy="1944230"/>
            <wp:effectExtent b="0" l="0" r="0" t="0"/>
            <wp:docPr id="19" name="image-f1a1fd5d84d73a8e7515c18452e185b4c625981e.jpg"/>
            <a:graphic>
              <a:graphicData uri="http://schemas.openxmlformats.org/drawingml/2006/picture">
                <pic:pic>
                  <pic:nvPicPr>
                    <pic:cNvPr id="19" name="image-f1a1fd5d84d73a8e7515c18452e185b4c625981e.jpg" descr=""/>
                    <pic:cNvPicPr/>
                  </pic:nvPicPr>
                  <pic:blipFill>
                    <a:blip r:embed="rId23" cstate="print"/>
                    <a:srcRect b="0" l="0" r="0" t="0"/>
                    <a:stretch>
                      <a:fillRect/>
                    </a:stretch>
                  </pic:blipFill>
                  <pic:spPr>
                    <a:xfrm>
                      <a:off x="0" y="0"/>
                      <a:ext cx="5486400" cy="1944230"/>
                    </a:xfrm>
                    <a:prstGeom prst="rect"/>
                  </pic:spPr>
                </pic:pic>
              </a:graphicData>
            </a:graphic>
          </wp:inline>
        </w:drawing>
      </w:r>
    </w:p>
    <w:p>
      <w:pPr>
        <w:spacing w:lineRule="auto"/>
      </w:pPr>
      <w:r>
        <w:rPr>
          <w:rFonts w:eastAsia="Georgia" w:cs="Georgia" w:ascii="Georgia" w:hAnsi="Georgia"/>
        </w:rPr>
        <w:t xml:space="preserve">Figure 2 Schéma du spectrogoniomètre (vue de dessus).</w:t>
      </w:r>
    </w:p>
    <w:p>
      <w:pPr>
        <w:spacing w:after="220" w:lineRule="auto"/>
      </w:pPr>
      <w:r>
        <w:rPr>
          <w:rFonts w:eastAsia="Georgia" w:cs="Georgia" w:ascii="Georgia" w:hAnsi="Georgia"/>
        </w:rPr>
        <w:t xml:space="preserve">En observant les spectres de la lumière après l'analyseur pour une ou deux épaisseurs de Scotch </w:t>
      </w:r>
      <m:oMath>
        <m:sSup>
          <m:sSupPr/>
          <m:e>
            <m:r>
              <m:t xml:space="preserve"> </m:t>
            </m:r>
          </m:e>
          <m:sup>
            <m:r>
              <m:rPr>
                <m:sty m:val="i"/>
              </m:rPr>
              <m:t>®</m:t>
            </m:r>
          </m:sup>
        </m:sSup>
      </m:oMath>
      <w:r>
        <w:rPr>
          <w:rFonts w:eastAsia="Georgia" w:cs="Georgia" w:ascii="Georgia" w:hAnsi="Georgia"/>
        </w:rPr>
        <w:t xml:space="preserve">, on remarque que les spectres sont continus. On observe à partir de trois épaisseurs une première raie d'absorption. Nous avons alors décidé de porter le nombre d'épaisseurs de Scotch </w:t>
      </w:r>
      <m:oMath>
        <m:sSup>
          <m:sSupPr/>
          <m:e>
            <m:r>
              <m:t xml:space="preserve"> </m:t>
            </m:r>
          </m:e>
          <m:sup>
            <m:r>
              <m:rPr>
                <m:sty m:val="i"/>
              </m:rPr>
              <m:t>®</m:t>
            </m:r>
          </m:sup>
        </m:sSup>
      </m:oMath>
      <w:r>
        <w:rPr>
          <w:rFonts w:eastAsia="Georgia" w:cs="Georgia" w:ascii="Georgia" w:hAnsi="Georgia"/>
        </w:rPr>
        <w:t xml:space="preserve"> à dix afin d'observer plusieurs raies d'absorption.</w:t>
      </w:r>
    </w:p>
    <w:p>
      <w:pPr>
        <w:spacing w:line="271" w:before="330" w:lineRule="auto"/>
      </w:pPr>
      <w:r>
        <w:rPr>
          <w:rFonts w:eastAsia="Georgia" w:cs="Georgia" w:ascii="Georgia" w:hAnsi="Georgia"/>
          <w:b/>
          <w:sz w:val="42"/>
        </w:rPr>
        <w:t xml:space="preserve">Étalonnage du spectrogoniomètre</w:t>
      </w:r>
    </w:p>
    <w:p>
      <w:pPr>
        <w:spacing w:after="220" w:lineRule="auto"/>
      </w:pPr>
      <w:r>
        <w:rPr>
          <w:rFonts w:eastAsia="Georgia" w:cs="Georgia" w:ascii="Georgia" w:hAnsi="Georgia"/>
        </w:rPr>
        <w:t xml:space="preserve">Nous avons tout d'abord mesuré avec la graduation du socle les positions des raies d'émission d'une lampe à vapeur de zinc et d'une lampe à vapeur de mercure. Nous avons ensuite calculé le sinus des angles trouvés à</w:t>
      </w:r>
      <w:r>
        <w:rPr/>
        <w:br w:type="textWrapping"/>
      </w:r>
      <w:r>
        <w:rPr>
          <w:rFonts w:eastAsia="Georgia" w:cs="Georgia" w:ascii="Georgia" w:hAnsi="Georgia"/>
        </w:rPr>
        <w:t xml:space="preserve">l'aide du goniomètre pour chaque raie d'émission et y avons associé les longueurs d'onde correspondantes grâce aux tables de valeurs.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Source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Valeur de l'angle sur le goniomètre (en </w:t>
            </w:r>
            <m:oMath>
              <m:sSup>
                <m:sSupPr/>
                <m:e>
                  <m:r>
                    <m:t xml:space="preserve"> </m:t>
                  </m:r>
                </m:e>
                <m:sup>
                  <m:r>
                    <m:rPr>
                      <m:sty m:val="p"/>
                    </m:rPr>
                    <m:t>∘</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t xml:space="preserve">Sinus de cet angle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d'onde de la raie d'émission (en nm)</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Lampe à vapeur de zinc</w:t>
            </w:r>
          </w:p>
        </w:tc>
        <w:tc>
          <w:tcPr>
            <w:tcBorders>
              <w:bottom w:val="single" w:sz="8" w:space="0" w:color="000000"/>
              <w:right w:val="single" w:sz="8" w:space="0" w:color="000000"/>
            </w:tcBorders>
            <w:vAlign w:val="center"/>
          </w:tcPr>
          <w:p>
            <w:pPr>
              <w:spacing w:lineRule="auto"/>
              <w:jc w:val="left"/>
            </w:pPr>
            <w:r>
              <w:rPr/>
              <w:t xml:space="preserve">16,33</w:t>
            </w:r>
          </w:p>
        </w:tc>
        <w:tc>
          <w:tcPr>
            <w:tcBorders>
              <w:bottom w:val="single" w:sz="8" w:space="0" w:color="000000"/>
              <w:right w:val="single" w:sz="8" w:space="0" w:color="000000"/>
            </w:tcBorders>
            <w:vAlign w:val="center"/>
          </w:tcPr>
          <w:p>
            <w:pPr>
              <w:spacing w:lineRule="auto"/>
              <w:jc w:val="left"/>
            </w:pPr>
            <w:r>
              <w:rPr/>
              <w:t xml:space="preserve">0,281</w:t>
            </w:r>
          </w:p>
        </w:tc>
        <w:tc>
          <w:tcPr>
            <w:tcBorders>
              <w:bottom w:val="single" w:sz="8" w:space="0" w:color="000000"/>
              <w:right w:val="single" w:sz="8" w:space="0" w:color="000000"/>
            </w:tcBorders>
            <w:vAlign w:val="center"/>
          </w:tcPr>
          <w:p>
            <w:pPr>
              <w:spacing w:lineRule="auto"/>
              <w:jc w:val="left"/>
            </w:pPr>
            <w:r>
              <w:rPr/>
              <w:t xml:space="preserve">468,0</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16,48</w:t>
            </w:r>
          </w:p>
        </w:tc>
        <w:tc>
          <w:tcPr>
            <w:tcBorders>
              <w:bottom w:val="single" w:sz="8" w:space="0" w:color="000000"/>
              <w:right w:val="single" w:sz="8" w:space="0" w:color="000000"/>
            </w:tcBorders>
            <w:vAlign w:val="center"/>
          </w:tcPr>
          <w:p>
            <w:pPr>
              <w:spacing w:lineRule="auto"/>
              <w:jc w:val="left"/>
            </w:pPr>
            <w:r>
              <w:rPr/>
              <w:t xml:space="preserve">0,284</w:t>
            </w:r>
          </w:p>
        </w:tc>
        <w:tc>
          <w:tcPr>
            <w:tcBorders>
              <w:bottom w:val="single" w:sz="8" w:space="0" w:color="000000"/>
              <w:right w:val="single" w:sz="8" w:space="0" w:color="000000"/>
            </w:tcBorders>
            <w:vAlign w:val="center"/>
          </w:tcPr>
          <w:p>
            <w:pPr>
              <w:spacing w:lineRule="auto"/>
              <w:jc w:val="left"/>
            </w:pPr>
            <w:r>
              <w:rPr/>
              <w:t xml:space="preserve">472,0</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16,78</w:t>
            </w:r>
          </w:p>
        </w:tc>
        <w:tc>
          <w:tcPr>
            <w:tcBorders>
              <w:bottom w:val="single" w:sz="8" w:space="0" w:color="000000"/>
              <w:right w:val="single" w:sz="8" w:space="0" w:color="000000"/>
            </w:tcBorders>
            <w:vAlign w:val="center"/>
          </w:tcPr>
          <w:p>
            <w:pPr>
              <w:spacing w:lineRule="auto"/>
              <w:jc w:val="left"/>
            </w:pPr>
            <w:r>
              <w:rPr/>
              <w:t xml:space="preserve">0,289</w:t>
            </w:r>
          </w:p>
        </w:tc>
        <w:tc>
          <w:tcPr>
            <w:tcBorders>
              <w:bottom w:val="single" w:sz="8" w:space="0" w:color="000000"/>
              <w:right w:val="single" w:sz="8" w:space="0" w:color="000000"/>
            </w:tcBorders>
            <w:vAlign w:val="center"/>
          </w:tcPr>
          <w:p>
            <w:pPr>
              <w:spacing w:lineRule="auto"/>
              <w:jc w:val="left"/>
            </w:pPr>
            <w:r>
              <w:rPr/>
              <w:t xml:space="preserve">480,0</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22,37</w:t>
            </w:r>
          </w:p>
        </w:tc>
        <w:tc>
          <w:tcPr>
            <w:tcBorders>
              <w:bottom w:val="single" w:sz="8" w:space="0" w:color="000000"/>
              <w:right w:val="single" w:sz="8" w:space="0" w:color="000000"/>
            </w:tcBorders>
            <w:vAlign w:val="center"/>
          </w:tcPr>
          <w:p>
            <w:pPr>
              <w:spacing w:lineRule="auto"/>
              <w:jc w:val="left"/>
            </w:pPr>
            <w:r>
              <w:rPr/>
              <w:t xml:space="preserve">0,380</w:t>
            </w:r>
          </w:p>
        </w:tc>
        <w:tc>
          <w:tcPr>
            <w:tcBorders>
              <w:bottom w:val="single" w:sz="8" w:space="0" w:color="000000"/>
              <w:right w:val="single" w:sz="8" w:space="0" w:color="000000"/>
            </w:tcBorders>
            <w:vAlign w:val="center"/>
          </w:tcPr>
          <w:p>
            <w:pPr>
              <w:spacing w:lineRule="auto"/>
              <w:jc w:val="left"/>
            </w:pPr>
            <w:r>
              <w:rPr/>
              <w:t xml:space="preserve">637,0</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Lampe à vapeur de mercure</w:t>
            </w:r>
          </w:p>
        </w:tc>
        <w:tc>
          <w:tcPr>
            <w:tcBorders>
              <w:bottom w:val="single" w:sz="8" w:space="0" w:color="000000"/>
              <w:right w:val="single" w:sz="8" w:space="0" w:color="000000"/>
            </w:tcBorders>
            <w:vAlign w:val="center"/>
          </w:tcPr>
          <w:p>
            <w:pPr>
              <w:spacing w:lineRule="auto"/>
              <w:jc w:val="left"/>
            </w:pPr>
            <w:r>
              <w:rPr/>
              <w:t xml:space="preserve">15,23</w:t>
            </w:r>
          </w:p>
        </w:tc>
        <w:tc>
          <w:tcPr>
            <w:tcBorders>
              <w:bottom w:val="single" w:sz="8" w:space="0" w:color="000000"/>
              <w:right w:val="single" w:sz="8" w:space="0" w:color="000000"/>
            </w:tcBorders>
            <w:vAlign w:val="center"/>
          </w:tcPr>
          <w:p>
            <w:pPr>
              <w:spacing w:lineRule="auto"/>
              <w:jc w:val="left"/>
            </w:pPr>
            <w:r>
              <w:rPr/>
              <w:t xml:space="preserve">0,263</w:t>
            </w:r>
          </w:p>
        </w:tc>
        <w:tc>
          <w:tcPr>
            <w:tcBorders>
              <w:bottom w:val="single" w:sz="8" w:space="0" w:color="000000"/>
              <w:right w:val="single" w:sz="8" w:space="0" w:color="000000"/>
            </w:tcBorders>
            <w:vAlign w:val="center"/>
          </w:tcPr>
          <w:p>
            <w:pPr>
              <w:spacing w:lineRule="auto"/>
              <w:jc w:val="left"/>
            </w:pPr>
            <w:r>
              <w:rPr/>
              <w:t xml:space="preserve">435,8</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19,12</w:t>
            </w:r>
          </w:p>
        </w:tc>
        <w:tc>
          <w:tcPr>
            <w:tcBorders>
              <w:bottom w:val="single" w:sz="8" w:space="0" w:color="000000"/>
              <w:right w:val="single" w:sz="8" w:space="0" w:color="000000"/>
            </w:tcBorders>
            <w:vAlign w:val="center"/>
          </w:tcPr>
          <w:p>
            <w:pPr>
              <w:spacing w:lineRule="auto"/>
              <w:jc w:val="left"/>
            </w:pPr>
            <w:r>
              <w:rPr/>
              <w:t xml:space="preserve">0,328</w:t>
            </w:r>
          </w:p>
        </w:tc>
        <w:tc>
          <w:tcPr>
            <w:tcBorders>
              <w:bottom w:val="single" w:sz="8" w:space="0" w:color="000000"/>
              <w:right w:val="single" w:sz="8" w:space="0" w:color="000000"/>
            </w:tcBorders>
            <w:vAlign w:val="center"/>
          </w:tcPr>
          <w:p>
            <w:pPr>
              <w:spacing w:lineRule="auto"/>
              <w:jc w:val="left"/>
            </w:pPr>
            <w:r>
              <w:rPr/>
              <w:t xml:space="preserve">546,1</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20,23</w:t>
            </w:r>
          </w:p>
        </w:tc>
        <w:tc>
          <w:tcPr>
            <w:tcBorders>
              <w:bottom w:val="single" w:sz="8" w:space="0" w:color="000000"/>
              <w:right w:val="single" w:sz="8" w:space="0" w:color="000000"/>
            </w:tcBorders>
            <w:vAlign w:val="center"/>
          </w:tcPr>
          <w:p>
            <w:pPr>
              <w:spacing w:lineRule="auto"/>
              <w:jc w:val="left"/>
            </w:pPr>
            <w:r>
              <w:rPr/>
              <w:t xml:space="preserve">0,346</w:t>
            </w:r>
          </w:p>
        </w:tc>
        <w:tc>
          <w:tcPr>
            <w:tcBorders>
              <w:bottom w:val="single" w:sz="8" w:space="0" w:color="000000"/>
              <w:right w:val="single" w:sz="8" w:space="0" w:color="000000"/>
            </w:tcBorders>
            <w:vAlign w:val="center"/>
          </w:tcPr>
          <w:p>
            <w:pPr>
              <w:spacing w:lineRule="auto"/>
              <w:jc w:val="left"/>
            </w:pPr>
            <w:r>
              <w:rPr/>
              <w:t xml:space="preserve">576,6</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20,28</w:t>
            </w:r>
          </w:p>
        </w:tc>
        <w:tc>
          <w:tcPr>
            <w:tcBorders>
              <w:bottom w:val="single" w:sz="8" w:space="0" w:color="000000"/>
              <w:right w:val="single" w:sz="8" w:space="0" w:color="000000"/>
            </w:tcBorders>
            <w:vAlign w:val="center"/>
          </w:tcPr>
          <w:p>
            <w:pPr>
              <w:spacing w:lineRule="auto"/>
              <w:jc w:val="left"/>
            </w:pPr>
            <w:r>
              <w:rPr/>
              <w:t xml:space="preserve">0,347</w:t>
            </w:r>
          </w:p>
        </w:tc>
        <w:tc>
          <w:tcPr>
            <w:tcBorders>
              <w:bottom w:val="single" w:sz="8" w:space="0" w:color="000000"/>
              <w:right w:val="single" w:sz="8" w:space="0" w:color="000000"/>
            </w:tcBorders>
            <w:vAlign w:val="center"/>
          </w:tcPr>
          <w:p>
            <w:pPr>
              <w:spacing w:lineRule="auto"/>
              <w:jc w:val="left"/>
            </w:pPr>
            <w:r>
              <w:rPr/>
              <w:t xml:space="preserve">579,1</w:t>
            </w:r>
          </w:p>
        </w:tc>
      </w:tr>
    </w:tbl>
    <w:p>
      <w:pPr>
        <w:spacing w:lineRule="auto"/>
      </w:pPr>
    </w:p>
    <w:p>
      <w:pPr>
        <w:spacing w:after="220" w:lineRule="auto"/>
      </w:pPr>
      <w:r>
        <w:rPr>
          <w:rFonts w:eastAsia="Georgia" w:cs="Georgia" w:ascii="Georgia" w:hAnsi="Georgia"/>
        </w:rPr>
        <w:t xml:space="preserve">À l'aide d'un logiciel de traitement des données, nous avons tracé la courbe d'étalonnage du sinus des angles en fonction des longueurs d'onde correspondantes. Cette courbe est une droite.</w:t>
      </w:r>
    </w:p>
    <w:p>
      <w:pPr>
        <w:spacing w:line="271" w:before="330" w:lineRule="auto"/>
      </w:pPr>
      <w:r>
        <w:rPr>
          <w:rFonts w:eastAsia="Georgia" w:cs="Georgia" w:ascii="Georgia" w:hAnsi="Georgia"/>
          <w:b/>
          <w:sz w:val="42"/>
        </w:rPr>
        <w:t xml:space="preserve">Mesure de la biréfringence du Scotch </w:t>
      </w:r>
      <m:oMath>
        <m:sSup>
          <m:sSupPr>
            <m:ctrlPr>
              <w:rPr>
                <w:rFonts w:ascii="Cambria Math" w:hAnsi="Cambria Math"/>
                <w:sz w:val="42"/>
              </w:rPr>
            </m:ctrlPr>
          </m:sSupPr>
          <m:e>
            <m:r>
              <m:t xml:space="preserve"> </m:t>
            </m:r>
          </m:e>
          <m:sup>
            <m:r>
              <m:rPr>
                <m:sty m:val="i"/>
              </m:rPr>
              <w:rPr>
                <w:sz w:val="42"/>
              </w:rPr>
              <m:t>®</m:t>
            </m:r>
          </m:sup>
        </m:sSup>
      </m:oMath>
    </w:p>
    <w:p>
      <w:pPr>
        <w:spacing w:after="220" w:lineRule="auto"/>
      </w:pPr>
      <w:r>
        <w:rPr>
          <w:rFonts w:eastAsia="Georgia" w:cs="Georgia" w:ascii="Georgia" w:hAnsi="Georgia"/>
        </w:rPr>
        <w:t xml:space="preserve">Nous avons ensuite repris l'analyse spectrale de la lumière sortant de l'analyseur après avoir traversé dix épaisseurs de Scotch </w:t>
      </w:r>
      <m:oMath>
        <m:sSup>
          <m:sSupPr/>
          <m:e>
            <m:r>
              <m:t xml:space="preserve"> </m:t>
            </m:r>
          </m:e>
          <m:sup>
            <m:r>
              <m:rPr>
                <m:sty m:val="i"/>
              </m:rPr>
              <m:t>®</m:t>
            </m:r>
          </m:sup>
        </m:sSup>
      </m:oMath>
      <w:r>
        <w:rPr>
          <w:rFonts w:eastAsia="Georgia" w:cs="Georgia" w:ascii="Georgia" w:hAnsi="Georgia"/>
        </w:rPr>
        <w:t xml:space="preserve">. Nous avons ainsi pu mesurer les valeurs des angles pour les raies d'absorption et avons calculé leur sinus. Grâce à la courbe d'étalonnage nous avons alors déterminé les longueurs d'onde correspondant à ces raies.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Valeur de l'angle sur</w:t>
            </w:r>
          </w:p>
          <w:p>
            <w:pPr>
              <w:spacing w:lineRule="auto"/>
              <w:jc w:val="center"/>
            </w:pPr>
            <w:r>
              <w:rPr>
                <w:rFonts w:eastAsia="Georgia" w:cs="Georgia" w:ascii="Georgia" w:hAnsi="Georgia"/>
              </w:rPr>
              <w:t xml:space="preserve">le goniomètre </w:t>
            </w:r>
            <m:oMathPara>
              <m:oMathParaPr>
                <m:jc m:val="center"/>
              </m:oMathParaPr>
              <m:oMath>
                <m:d>
                  <m:dPr>
                    <m:begChr m:val="("/>
                    <m:endChr m:val=")"/>
                    <m:ctrlPr>
                      <w:rPr>
                        <w:rFonts w:ascii="Cambria Math" w:hAnsi="Cambria Math"/>
                      </w:rPr>
                    </m:ctrlPr>
                  </m:dPr>
                  <m:e>
                    <m:sSup>
                      <m:sSupPr/>
                      <m:e>
                        <m:r>
                          <m:rPr>
                            <m:sty m:val="p"/>
                          </m:rPr>
                          <m:t>en</m:t>
                        </m:r>
                      </m:e>
                      <m:sup>
                        <m:r>
                          <m:rPr>
                            <m:sty m:val="p"/>
                          </m:rPr>
                          <m:t>∘</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Sinus de cet angle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Longueur d'onde</w:t>
            </w:r>
          </w:p>
          <w:p>
            <w:pPr>
              <w:spacing w:lineRule="auto"/>
              <w:jc w:val="center"/>
            </w:pPr>
            <w:r>
              <w:rPr/>
              <w:t xml:space="preserve">correspondante (en nm)</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15,13</w:t>
            </w:r>
          </w:p>
        </w:tc>
        <w:tc>
          <w:tcPr>
            <w:tcBorders>
              <w:bottom w:val="single" w:sz="8" w:space="0" w:color="000000"/>
              <w:right w:val="single" w:sz="8" w:space="0" w:color="000000"/>
            </w:tcBorders>
            <w:vAlign w:val="center"/>
          </w:tcPr>
          <w:p>
            <w:pPr>
              <w:spacing w:lineRule="auto"/>
              <w:jc w:val="center"/>
            </w:pPr>
            <w:r>
              <w:rPr/>
              <w:t xml:space="preserve">0,261</w:t>
            </w:r>
          </w:p>
        </w:tc>
        <w:tc>
          <w:tcPr>
            <w:tcBorders>
              <w:bottom w:val="single" w:sz="8" w:space="0" w:color="000000"/>
              <w:right w:val="single" w:sz="8" w:space="0" w:color="000000"/>
            </w:tcBorders>
            <w:vAlign w:val="center"/>
          </w:tcPr>
          <w:p>
            <w:pPr>
              <w:spacing w:lineRule="auto"/>
              <w:jc w:val="center"/>
            </w:pPr>
            <w:r>
              <w:rPr/>
              <w:t xml:space="preserve">433,4</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17,25</w:t>
            </w:r>
          </w:p>
        </w:tc>
        <w:tc>
          <w:tcPr>
            <w:tcBorders>
              <w:bottom w:val="single" w:sz="8" w:space="0" w:color="000000"/>
              <w:right w:val="single" w:sz="8" w:space="0" w:color="000000"/>
            </w:tcBorders>
            <w:vAlign w:val="center"/>
          </w:tcPr>
          <w:p>
            <w:pPr>
              <w:spacing w:lineRule="auto"/>
              <w:jc w:val="center"/>
            </w:pPr>
            <w:r>
              <w:rPr/>
              <w:t xml:space="preserve">0,297</w:t>
            </w:r>
          </w:p>
        </w:tc>
        <w:tc>
          <w:tcPr>
            <w:tcBorders>
              <w:bottom w:val="single" w:sz="8" w:space="0" w:color="000000"/>
              <w:right w:val="single" w:sz="8" w:space="0" w:color="000000"/>
            </w:tcBorders>
            <w:vAlign w:val="center"/>
          </w:tcPr>
          <w:p>
            <w:pPr>
              <w:spacing w:lineRule="auto"/>
              <w:jc w:val="center"/>
            </w:pPr>
            <w:r>
              <w:rPr/>
              <w:t xml:space="preserve">494,9</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20,03</w:t>
            </w:r>
          </w:p>
        </w:tc>
        <w:tc>
          <w:tcPr>
            <w:tcBorders>
              <w:bottom w:val="single" w:sz="8" w:space="0" w:color="000000"/>
              <w:right w:val="single" w:sz="8" w:space="0" w:color="000000"/>
            </w:tcBorders>
            <w:vAlign w:val="center"/>
          </w:tcPr>
          <w:p>
            <w:pPr>
              <w:spacing w:lineRule="auto"/>
              <w:jc w:val="center"/>
            </w:pPr>
            <w:r>
              <w:rPr/>
              <w:t xml:space="preserve">0,343</w:t>
            </w:r>
          </w:p>
        </w:tc>
        <w:tc>
          <w:tcPr>
            <w:tcBorders>
              <w:bottom w:val="single" w:sz="8" w:space="0" w:color="000000"/>
              <w:right w:val="single" w:sz="8" w:space="0" w:color="000000"/>
            </w:tcBorders>
            <w:vAlign w:val="center"/>
          </w:tcPr>
          <w:p>
            <w:pPr>
              <w:spacing w:lineRule="auto"/>
              <w:jc w:val="center"/>
            </w:pPr>
            <w:r>
              <w:rPr/>
              <w:t xml:space="preserve">573,2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24,03</w:t>
            </w:r>
          </w:p>
        </w:tc>
        <w:tc>
          <w:tcPr>
            <w:tcBorders>
              <w:bottom w:val="single" w:sz="8" w:space="0" w:color="000000"/>
              <w:right w:val="single" w:sz="8" w:space="0" w:color="000000"/>
            </w:tcBorders>
            <w:vAlign w:val="center"/>
          </w:tcPr>
          <w:p>
            <w:pPr>
              <w:spacing w:lineRule="auto"/>
              <w:jc w:val="center"/>
            </w:pPr>
            <w:r>
              <w:rPr/>
              <w:t xml:space="preserve">0,407</w:t>
            </w:r>
          </w:p>
        </w:tc>
        <w:tc>
          <w:tcPr>
            <w:tcBorders>
              <w:bottom w:val="single" w:sz="8" w:space="0" w:color="000000"/>
              <w:right w:val="single" w:sz="8" w:space="0" w:color="000000"/>
            </w:tcBorders>
            <w:vAlign w:val="center"/>
          </w:tcPr>
          <w:p>
            <w:pPr>
              <w:spacing w:lineRule="auto"/>
              <w:jc w:val="center"/>
            </w:pPr>
            <w:r>
              <w:rPr/>
              <w:t xml:space="preserve">680,0</w:t>
            </w:r>
          </w:p>
        </w:tc>
      </w:tr>
    </w:tbl>
    <w:p>
      <w:pPr>
        <w:spacing w:lineRule="auto"/>
      </w:pPr>
    </w:p>
    <w:p>
      <w:pPr>
        <w:spacing w:after="220" w:lineRule="auto"/>
      </w:pPr>
      <w:r>
        <w:rPr>
          <w:rFonts w:eastAsia="Georgia" w:cs="Georgia" w:ascii="Georgia" w:hAnsi="Georgia"/>
        </w:rPr>
        <w:t xml:space="preserve">Grâce à ces mesures nous avons la possibilité désormais de déterminer la différence des indices dans le Scotch </w:t>
      </w:r>
      <m:oMath>
        <m:sSup>
          <m:sSupPr/>
          <m:e>
            <m:r>
              <m:t xml:space="preserve"> </m:t>
            </m:r>
          </m:e>
          <m:sup>
            <m:r>
              <m:rPr>
                <m:sty m:val="p"/>
              </m:rPr>
              <m:t>(</m:t>
            </m:r>
            <m:r>
              <m:rPr>
                <m:sty m:val="p"/>
              </m:rPr>
              <m:t>B</m:t>
            </m:r>
            <m:r>
              <m:rPr>
                <m:sty m:val="p"/>
              </m:rPr>
              <m:t>)</m:t>
            </m:r>
          </m:sup>
        </m:sSup>
      </m:oMath>
      <w:r>
        <w:rPr>
          <w:rFonts w:eastAsia="Georgia" w:cs="Georgia" w:ascii="Georgia" w:hAnsi="Georgia"/>
        </w:rPr>
        <w:t xml:space="preserve">. À l'aide de notre simulation informatique utilisant un logiciel de géométrie dynamique et pour les longueurs d'onde ci-dessus, nous avons recherché la différence d'indice entre l'indice </w:t>
      </w:r>
      <m:oMath>
        <m:sSub>
          <m:sSubPr/>
          <m:e>
            <m:r>
              <m:rPr>
                <m:sty m:val="i"/>
              </m:rPr>
              <m:t>n</m:t>
            </m:r>
          </m:e>
          <m:sub>
            <m:r>
              <m:rPr>
                <m:sty m:val="p"/>
              </m:rPr>
              <m:t>0</m:t>
            </m:r>
          </m:sub>
        </m:sSub>
      </m:oMath>
      <w:r>
        <w:rPr/>
        <w:t xml:space="preserve"> et l'indice </w:t>
      </w:r>
      <m:oMath>
        <m:sSub>
          <m:sSubPr/>
          <m:e>
            <m:r>
              <m:rPr>
                <m:sty m:val="i"/>
              </m:rPr>
              <m:t>n</m:t>
            </m:r>
          </m:e>
          <m:sub>
            <m:r>
              <m:rPr>
                <m:sty m:val="i"/>
              </m:rPr>
              <m:t>e</m:t>
            </m:r>
          </m:sub>
        </m:sSub>
      </m:oMath>
      <w:r>
        <w:rPr>
          <w:rFonts w:eastAsia="Georgia" w:cs="Georgia" w:ascii="Georgia" w:hAnsi="Georgia"/>
        </w:rPr>
        <w:t xml:space="preserve"> pour laquelle il y a absorption de la radiation par le système {polariseur-Scotch </w:t>
      </w:r>
      <m:oMath>
        <m:sSup>
          <m:sSupPr/>
          <m:e>
            <m:r>
              <m:t xml:space="preserve"> </m:t>
            </m:r>
          </m:e>
          <m:sup>
            <m:r>
              <m:rPr>
                <m:sty m:val="i"/>
              </m:rPr>
              <m:t>®</m:t>
            </m:r>
          </m:sup>
        </m:sSup>
      </m:oMath>
      <w:r>
        <w:rPr>
          <w:rFonts w:eastAsia="Georgia" w:cs="Georgia" w:ascii="Georgia" w:hAnsi="Georgia"/>
        </w:rPr>
        <w:t xml:space="preserve">-analyseur}. Nous avons considéré l'indice </w:t>
      </w:r>
      <m:oMath>
        <m:sSub>
          <m:sSubPr/>
          <m:e>
            <m:r>
              <m:rPr>
                <m:sty m:val="i"/>
              </m:rPr>
              <m:t>n</m:t>
            </m:r>
          </m:e>
          <m:sub>
            <m:r>
              <m:rPr>
                <m:sty m:val="p"/>
              </m:rPr>
              <m:t>0</m:t>
            </m:r>
          </m:sub>
        </m:sSub>
      </m:oMath>
      <w:r>
        <w:rPr>
          <w:rFonts w:eastAsia="Georgia" w:cs="Georgia" w:ascii="Georgia" w:hAnsi="Georgia"/>
        </w:rPr>
        <w:t xml:space="preserve"> comme égal à 1 , et nous avons joué sur la valeur de l'indice </w:t>
      </w:r>
      <m:oMath>
        <m:sSub>
          <m:sSubPr/>
          <m:e>
            <m:r>
              <m:rPr>
                <m:sty m:val="i"/>
              </m:rPr>
              <m:t>n</m:t>
            </m:r>
          </m:e>
          <m:sub>
            <m:r>
              <m:rPr>
                <m:sty m:val="i"/>
              </m:rPr>
              <m:t>e</m:t>
            </m:r>
          </m:sub>
        </m:sSub>
      </m:oMath>
      <w:r>
        <w:rPr>
          <w:rFonts w:eastAsia="Georgia" w:cs="Georgia" w:ascii="Georgia" w:hAnsi="Georgia"/>
        </w:rPr>
        <w:t xml:space="preserve"> jusqu'à obtenir l'extinction de la lumière. Voilà les valeurs obtenues: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Longueur d'onde (en nm)</w:t>
            </w:r>
          </w:p>
        </w:tc>
        <w:tc>
          <w:tcPr>
            <w:tcBorders>
              <w:top w:val="single" w:sz="8" w:space="0" w:color="000000"/>
              <w:bottom w:val="single" w:sz="8" w:space="0" w:color="000000"/>
              <w:right w:val="single" w:sz="8" w:space="0" w:color="000000"/>
            </w:tcBorders>
            <w:vAlign w:val="center"/>
          </w:tcPr>
          <w:p>
            <w:pPr>
              <w:spacing w:lineRule="auto"/>
              <w:jc w:val="center"/>
            </w:pPr>
            <w:r>
              <w:rPr/>
              <w:t xml:space="preserve">Indice </w:t>
            </w:r>
            <m:oMath>
              <m:sSub>
                <m:sSubPr/>
                <m:e>
                  <m:r>
                    <m:rPr>
                      <m:sty m:val="i"/>
                    </m:rPr>
                    <m:t>n</m:t>
                  </m:r>
                </m:e>
                <m:sub>
                  <m:r>
                    <m:rPr>
                      <m:sty m:val="i"/>
                    </m:rPr>
                    <m:t>e</m:t>
                  </m:r>
                </m:sub>
              </m:sSub>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433,4</w:t>
            </w:r>
          </w:p>
        </w:tc>
        <w:tc>
          <w:tcPr>
            <w:tcBorders>
              <w:bottom w:val="single" w:sz="8" w:space="0" w:color="000000"/>
              <w:right w:val="single" w:sz="8" w:space="0" w:color="000000"/>
            </w:tcBorders>
            <w:vAlign w:val="center"/>
          </w:tcPr>
          <w:p>
            <w:pPr>
              <w:spacing w:lineRule="auto"/>
              <w:jc w:val="center"/>
            </w:pPr>
            <w:r>
              <w:rPr/>
              <w:t xml:space="preserve">1,0175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494,9</w:t>
            </w:r>
          </w:p>
        </w:tc>
        <w:tc>
          <w:tcPr>
            <w:tcBorders>
              <w:bottom w:val="single" w:sz="8" w:space="0" w:color="000000"/>
              <w:right w:val="single" w:sz="8" w:space="0" w:color="000000"/>
            </w:tcBorders>
            <w:vAlign w:val="center"/>
          </w:tcPr>
          <w:p>
            <w:pPr>
              <w:spacing w:lineRule="auto"/>
              <w:jc w:val="center"/>
            </w:pPr>
            <w:r>
              <w:rPr/>
              <w:t xml:space="preserve">1,0146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573,2</w:t>
            </w:r>
          </w:p>
        </w:tc>
        <w:tc>
          <w:tcPr>
            <w:tcBorders>
              <w:bottom w:val="single" w:sz="8" w:space="0" w:color="000000"/>
              <w:right w:val="single" w:sz="8" w:space="0" w:color="000000"/>
            </w:tcBorders>
            <w:vAlign w:val="center"/>
          </w:tcPr>
          <w:p>
            <w:pPr>
              <w:spacing w:lineRule="auto"/>
              <w:jc w:val="center"/>
            </w:pPr>
            <w:r>
              <w:rPr/>
              <w:t xml:space="preserve">1,01253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680,0</w:t>
            </w:r>
          </w:p>
        </w:tc>
        <w:tc>
          <w:tcPr>
            <w:tcBorders>
              <w:bottom w:val="single" w:sz="8" w:space="0" w:color="000000"/>
              <w:right w:val="single" w:sz="8" w:space="0" w:color="000000"/>
            </w:tcBorders>
            <w:vAlign w:val="center"/>
          </w:tcPr>
          <w:p>
            <w:pPr>
              <w:spacing w:lineRule="auto"/>
              <w:jc w:val="center"/>
            </w:pPr>
            <w:r>
              <w:rPr/>
              <w:t xml:space="preserve">1,01118</w:t>
            </w:r>
          </w:p>
        </w:tc>
      </w:tr>
    </w:tbl>
    <w:p>
      <w:pPr>
        <w:spacing w:lineRule="auto"/>
      </w:pPr>
    </w:p>
    <w:p>
      <w:pPr>
        <w:spacing w:after="220" w:lineRule="auto"/>
      </w:pPr>
      <w:r>
        <w:rPr/>
        <w:t xml:space="preserve">Nous avons finalement fait la moyenne de toutes ces valeurs, et nous obtenons:</w:t>
      </w:r>
    </w:p>
    <w:p>
      <w:pPr>
        <w:spacing w:after="220" w:lineRule="auto"/>
      </w:pPr>
      <m:oMathPara>
        <m:oMath>
          <m:r>
            <m:rPr>
              <m:sty m:val="p"/>
            </m:rPr>
            <m:t>Δ</m:t>
          </m:r>
          <m:r>
            <m:rPr>
              <m:sty m:val="i"/>
            </m:rPr>
            <m:t>n</m:t>
          </m:r>
          <m:r>
            <m:rPr>
              <m:sty m:val="p"/>
            </m:rPr>
            <m:t>=</m:t>
          </m:r>
          <m:sSub>
            <m:sSubPr/>
            <m:e>
              <m:r>
                <m:rPr>
                  <m:sty m:val="i"/>
                </m:rPr>
                <m:t>n</m:t>
              </m:r>
            </m:e>
            <m:sub>
              <m:r>
                <m:rPr>
                  <m:sty m:val="i"/>
                </m:rPr>
                <m:t>e</m:t>
              </m:r>
            </m:sub>
          </m:sSub>
          <m:r>
            <m:rPr>
              <m:sty m:val="p"/>
            </m:rPr>
            <m:t>−</m:t>
          </m:r>
          <m:sSub>
            <m:sSubPr/>
            <m:e>
              <m:r>
                <m:rPr>
                  <m:sty m:val="i"/>
                </m:rPr>
                <m:t>n</m:t>
              </m:r>
            </m:e>
            <m:sub>
              <m:r>
                <m:rPr>
                  <m:sty m:val="p"/>
                </m:rPr>
                <m:t>0</m:t>
              </m:r>
            </m:sub>
          </m:sSub>
          <m:r>
            <m:rPr>
              <m:sty m:val="p"/>
            </m:rPr>
            <m:t>=</m:t>
          </m:r>
          <m:r>
            <m:rPr>
              <m:sty m:val="p"/>
            </m:rPr>
            <m:t>0</m:t>
          </m:r>
          <m:r>
            <m:rPr>
              <m:sty m:val="p"/>
            </m:rPr>
            <m:t>,</m:t>
          </m:r>
          <m:r>
            <m:rPr>
              <m:sty m:val="p"/>
            </m:rPr>
            <m:t>0139</m:t>
          </m:r>
        </m:oMath>
      </m:oMathPara>
    </w:p>
    <w:p>
      <w:pPr>
        <w:spacing w:line="271" w:before="330" w:lineRule="auto"/>
      </w:pPr>
      <w:r>
        <w:rPr>
          <w:rFonts w:eastAsia="Georgia" w:cs="Georgia" w:ascii="Georgia" w:hAnsi="Georgia"/>
          <w:b/>
          <w:sz w:val="42"/>
        </w:rPr>
        <w:t xml:space="preserve">Données numériques</w:t>
      </w:r>
    </w:p>
    <w:p>
      <w:pPr>
        <w:spacing w:line="271" w:before="330" w:lineRule="auto"/>
      </w:pPr>
      <w:r>
        <w:rPr>
          <w:b/>
          <w:sz w:val="42"/>
        </w:rPr>
        <w:t xml:space="preserve">Divers</w:t>
      </w:r>
    </w:p>
    <w:p>
      <w:pPr>
        <w:numPr>
          <w:ilvl w:val="0"/>
          <w:numId w:val="4"/>
        </w:numPr>
        <w:spacing w:lineRule="auto"/>
      </w:pPr>
      <w:r>
        <w:rPr/>
        <w:t xml:space="preserve">Constante des gaz parfaits : </w:t>
      </w: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4"/>
        </w:numPr>
        <w:spacing w:lineRule="auto"/>
      </w:pPr>
      <w:r>
        <w:rPr/>
        <w:t xml:space="preserve">Constante d'Avogadro: </w:t>
      </w:r>
      <m:oMath>
        <m:sSub>
          <m:sSubPr/>
          <m:e>
            <m:r>
              <m:rPr>
                <m:scr m:val="script"/>
              </m:rPr>
              <m:t>N</m:t>
            </m:r>
          </m:e>
          <m:sub>
            <m:r>
              <m:rPr>
                <m:sty m:val="p"/>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p>
    <w:p>
      <w:pPr>
        <w:numPr>
          <w:ilvl w:val="0"/>
          <w:numId w:val="4"/>
        </w:numPr>
        <w:spacing w:lineRule="auto"/>
      </w:pPr>
      <w:r>
        <w:rPr>
          <w:rFonts w:eastAsia="Georgia" w:cs="Georgia" w:ascii="Georgia" w:hAnsi="Georgia"/>
        </w:rPr>
        <w:t xml:space="preserve">L'air est considéré comme un mélange gazeux dont les fractions molaires sont </w:t>
      </w:r>
      <m:oMath>
        <m:r>
          <m:rPr>
            <m:sty m:val="p"/>
          </m:rPr>
          <m:t>20</m:t>
        </m:r>
        <m:r>
          <m:rPr>
            <m:sty m:val="p"/>
          </m:rPr>
          <m:t>%</m:t>
        </m:r>
      </m:oMath>
      <w:r>
        <w:rPr/>
        <w:t xml:space="preserve"> de </w:t>
      </w:r>
      <m:oMath>
        <m:sSub>
          <m:sSubPr/>
          <m:e>
            <m:r>
              <m:rPr>
                <m:sty m:val="p"/>
              </m:rPr>
              <m:t>O</m:t>
            </m:r>
          </m:e>
          <m:sub>
            <m:r>
              <m:rPr>
                <m:sty m:val="p"/>
              </m:rPr>
              <m:t>2</m:t>
            </m:r>
          </m:sub>
        </m:sSub>
      </m:oMath>
      <w:r>
        <w:rPr/>
        <w:t xml:space="preserve"> et </w:t>
      </w:r>
      <m:oMath>
        <m:r>
          <m:rPr>
            <m:sty m:val="p"/>
          </m:rPr>
          <m:t>80</m:t>
        </m:r>
        <m:r>
          <m:rPr>
            <m:sty m:val="p"/>
          </m:rPr>
          <m:t>%</m:t>
        </m:r>
      </m:oMath>
      <w:r>
        <w:rPr/>
        <w:t xml:space="preserve"> de </w:t>
      </w:r>
      <m:oMath>
        <m:sSub>
          <m:sSubPr/>
          <m:e>
            <m:r>
              <m:rPr>
                <m:sty m:val="p"/>
              </m:rPr>
              <m:t>N</m:t>
            </m:r>
          </m:e>
          <m:sub>
            <m:r>
              <m:rPr>
                <m:sty m:val="p"/>
              </m:rPr>
              <m:t>2</m:t>
            </m:r>
          </m:sub>
        </m:sSub>
      </m:oMath>
    </w:p>
    <w:p>
      <w:pPr>
        <w:numPr>
          <w:ilvl w:val="0"/>
          <w:numId w:val="4"/>
        </w:numPr>
        <w:spacing w:lineRule="auto"/>
      </w:pPr>
      <w:r>
        <w:rPr/>
        <w:t xml:space="preserve">Masse volumique de l'eau liquide : </w:t>
      </w:r>
      <m:oMath>
        <m:r>
          <m:rPr>
            <m:sty m:val="i"/>
          </m:rPr>
          <m:t>ρ</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spacing w:line="271" w:before="330" w:lineRule="auto"/>
      </w:pPr>
      <w:r>
        <w:rPr>
          <w:rFonts w:eastAsia="Georgia" w:cs="Georgia" w:ascii="Georgia" w:hAnsi="Georgia"/>
          <w:b/>
          <w:sz w:val="42"/>
        </w:rPr>
        <w:t xml:space="preserve">Extrait du tableau périodique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right w:val="single" w:sz="8" w:space="0" w:color="000000"/>
            </w:tcBorders>
            <w:vAlign w:val="center"/>
          </w:tcPr>
          <w:p>
            <w:pPr>
              <w:spacing w:lineRule="auto"/>
              <w:jc w:val="left"/>
            </w:pPr>
            <w:r>
              <w:rPr>
                <w:rFonts w:eastAsia="Georgia" w:cs="Georgia" w:ascii="Georgia" w:hAnsi="Georgia"/>
              </w:rPr>
              <w:t xml:space="preserve">Numéro atomique</w:t>
            </w:r>
          </w:p>
        </w:tc>
        <w:tc>
          <w:tcPr>
            <w:tcBorders>
              <w:top w:val="single" w:sz="8" w:space="0" w:color="000000"/>
              <w:right w:val="single" w:sz="8" w:space="0" w:color="000000"/>
            </w:tcBorders>
            <w:vAlign w:val="center"/>
          </w:tcPr>
          <w:p>
            <w:pPr>
              <w:spacing w:lineRule="auto"/>
              <w:jc w:val="center"/>
            </w:pPr>
            <w:r>
              <w:rPr/>
              <w:t xml:space="preserve">1</w:t>
            </w:r>
          </w:p>
        </w:tc>
        <w:tc>
          <w:tcPr>
            <w:tcBorders>
              <w:top w:val="single" w:sz="8" w:space="0" w:color="000000"/>
              <w:right w:val="single" w:sz="8" w:space="0" w:color="000000"/>
            </w:tcBorders>
            <w:vAlign w:val="center"/>
          </w:tcPr>
          <w:p>
            <w:pPr>
              <w:spacing w:lineRule="auto"/>
              <w:jc w:val="center"/>
            </w:pPr>
            <w:r>
              <w:rPr/>
              <w:t xml:space="preserve">6</w:t>
            </w:r>
          </w:p>
        </w:tc>
        <w:tc>
          <w:tcPr>
            <w:tcBorders>
              <w:top w:val="single" w:sz="8" w:space="0" w:color="000000"/>
              <w:right w:val="single" w:sz="8" w:space="0" w:color="000000"/>
            </w:tcBorders>
            <w:vAlign w:val="center"/>
          </w:tcPr>
          <w:p>
            <w:pPr>
              <w:spacing w:lineRule="auto"/>
              <w:jc w:val="center"/>
            </w:pPr>
            <w:r>
              <w:rPr/>
              <w:t xml:space="preserve">8</w:t>
            </w:r>
          </w:p>
        </w:tc>
        <w:tc>
          <w:tcPr>
            <w:tcBorders>
              <w:top w:val="single" w:sz="8" w:space="0" w:color="000000"/>
              <w:right w:val="single" w:sz="8" w:space="0" w:color="000000"/>
            </w:tcBorders>
            <w:vAlign w:val="center"/>
          </w:tcPr>
          <w:p>
            <w:pPr>
              <w:spacing w:lineRule="auto"/>
              <w:jc w:val="center"/>
            </w:pPr>
            <w:r>
              <w:rPr/>
              <w:t xml:space="preserve">16</w:t>
            </w:r>
          </w:p>
        </w:tc>
        <w:tc>
          <w:tcPr>
            <w:tcBorders>
              <w:top w:val="single" w:sz="8" w:space="0" w:color="000000"/>
              <w:right w:val="single" w:sz="8" w:space="0" w:color="000000"/>
            </w:tcBorders>
            <w:vAlign w:val="center"/>
          </w:tcPr>
          <w:p>
            <w:pPr>
              <w:spacing w:lineRule="auto"/>
              <w:jc w:val="center"/>
            </w:pPr>
            <w:r>
              <w:rPr/>
              <w:t xml:space="preserve">17</w:t>
            </w:r>
          </w:p>
        </w:tc>
      </w:tr>
      <w:tr>
        <w:trPr>
          <w:cantSplit/>
        </w:trPr>
        <w:tc>
          <w:tcPr>
            <w:tcBorders>
              <w:left w:val="single" w:sz="8" w:space="0" w:color="000000"/>
              <w:right w:val="single" w:sz="8" w:space="0" w:color="000000"/>
            </w:tcBorders>
            <w:vAlign w:val="center"/>
          </w:tcPr>
          <w:p>
            <w:pPr>
              <w:spacing w:lineRule="auto"/>
              <w:jc w:val="left"/>
            </w:pPr>
            <w:r>
              <w:rPr/>
              <w:t xml:space="preserve">Symbole</w:t>
            </w:r>
          </w:p>
        </w:tc>
        <w:tc>
          <w:tcPr>
            <w:tcBorders>
              <w:right w:val="single" w:sz="8" w:space="0" w:color="000000"/>
            </w:tcBorders>
            <w:vAlign w:val="center"/>
          </w:tcPr>
          <w:p>
            <w:pPr>
              <w:spacing w:lineRule="auto"/>
              <w:jc w:val="center"/>
            </w:pPr>
            <w:r>
              <w:rPr/>
              <w:t xml:space="preserve">H</w:t>
            </w:r>
          </w:p>
        </w:tc>
        <w:tc>
          <w:tcPr>
            <w:tcBorders>
              <w:right w:val="single" w:sz="8" w:space="0" w:color="000000"/>
            </w:tcBorders>
            <w:vAlign w:val="center"/>
          </w:tcPr>
          <w:p>
            <w:pPr>
              <w:spacing w:lineRule="auto"/>
              <w:jc w:val="center"/>
            </w:pPr>
            <w:r>
              <w:rPr/>
              <w:t xml:space="preserve">C</w:t>
            </w:r>
          </w:p>
        </w:tc>
        <w:tc>
          <w:tcPr>
            <w:tcBorders>
              <w:right w:val="single" w:sz="8" w:space="0" w:color="000000"/>
            </w:tcBorders>
            <w:vAlign w:val="center"/>
          </w:tcPr>
          <w:p>
            <w:pPr>
              <w:spacing w:lineRule="auto"/>
              <w:jc w:val="center"/>
            </w:pPr>
            <w:r>
              <w:rPr/>
              <w:t xml:space="preserve">O</w:t>
            </w:r>
          </w:p>
        </w:tc>
        <w:tc>
          <w:tcPr>
            <w:tcBorders>
              <w:right w:val="single" w:sz="8" w:space="0" w:color="000000"/>
            </w:tcBorders>
            <w:vAlign w:val="center"/>
          </w:tcPr>
          <w:p>
            <w:pPr>
              <w:spacing w:lineRule="auto"/>
              <w:jc w:val="center"/>
            </w:pPr>
            <w:r>
              <w:rPr/>
              <w:t xml:space="preserve">S</w:t>
            </w:r>
          </w:p>
        </w:tc>
        <w:tc>
          <w:tcPr>
            <w:tcBorders>
              <w:right w:val="single" w:sz="8" w:space="0" w:color="000000"/>
            </w:tcBorders>
            <w:vAlign w:val="center"/>
          </w:tcPr>
          <w:p>
            <w:pPr>
              <w:spacing w:lineRule="auto"/>
              <w:jc w:val="center"/>
            </w:pPr>
            <w:r>
              <w:rPr/>
              <w:t xml:space="preserve">Cl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atomique </w:t>
            </w: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16</w:t>
            </w:r>
          </w:p>
        </w:tc>
        <w:tc>
          <w:tcPr>
            <w:tcBorders>
              <w:bottom w:val="single" w:sz="8" w:space="0" w:color="000000"/>
              <w:right w:val="single" w:sz="8" w:space="0" w:color="000000"/>
            </w:tcBorders>
            <w:vAlign w:val="center"/>
          </w:tcPr>
          <w:p>
            <w:pPr>
              <w:spacing w:lineRule="auto"/>
              <w:jc w:val="center"/>
            </w:pPr>
            <w:r>
              <w:rPr/>
              <w:t xml:space="preserve">32,1</w:t>
            </w:r>
          </w:p>
        </w:tc>
        <w:tc>
          <w:tcPr>
            <w:tcBorders>
              <w:bottom w:val="single" w:sz="8" w:space="0" w:color="000000"/>
              <w:right w:val="single" w:sz="8" w:space="0" w:color="000000"/>
            </w:tcBorders>
            <w:vAlign w:val="center"/>
          </w:tcPr>
          <w:p>
            <w:pPr>
              <w:spacing w:lineRule="auto"/>
              <w:jc w:val="center"/>
            </w:pPr>
            <w:r>
              <w:rPr/>
              <w:t xml:space="preserve">35,5</w:t>
            </w:r>
          </w:p>
        </w:tc>
      </w:tr>
    </w:tbl>
    <w:p>
      <w:pPr>
        <w:spacing w:lineRule="auto"/>
      </w:pPr>
    </w:p>
    <w:p>
      <w:pPr>
        <w:spacing w:line="271" w:before="330" w:lineRule="auto"/>
      </w:pPr>
      <w:r>
        <w:rPr>
          <w:rFonts w:eastAsia="Georgia" w:cs="Georgia" w:ascii="Georgia" w:hAnsi="Georgia"/>
          <w:b/>
          <w:sz w:val="42"/>
        </w:rPr>
        <w:t xml:space="preserve">Potentiels rédox standard à 298 K</w:t>
      </w:r>
    </w:p>
    <w:p>
      <w:pPr>
        <w:spacing w:after="220" w:lineRule="auto"/>
      </w:pPr>
      <w:r>
        <w:rPr>
          <w:rFonts w:eastAsia="Georgia" w:cs="Georgia" w:ascii="Georgia" w:hAnsi="Georgia"/>
        </w:rPr>
        <w:t xml:space="preserve">Les espèces non attachées à un couple rédox seront supposées électro-inactives dans les conditions de l'énoncé.</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Fe</m:t>
                    </m:r>
                  </m:e>
                  <m:sub>
                    <m:r>
                      <m:rPr>
                        <m:sty m:val="p"/>
                      </m:rPr>
                      <m:t>(</m:t>
                    </m:r>
                    <m:r>
                      <m:rPr>
                        <m:sty m:val="p"/>
                      </m:rPr>
                      <m:t>aq</m:t>
                    </m:r>
                    <m:r>
                      <m:rPr>
                        <m:sty m:val="p"/>
                      </m:rPr>
                      <m:t>)</m:t>
                    </m:r>
                  </m:sub>
                  <m:sup>
                    <m:r>
                      <m:rPr>
                        <m:sty m:val="p"/>
                      </m:rPr>
                      <m:t>2</m:t>
                    </m:r>
                    <m:r>
                      <m:rPr>
                        <m:sty m:val="p"/>
                      </m:rPr>
                      <m:t>+</m:t>
                    </m:r>
                  </m:sup>
                </m:sSubSup>
                <m:r>
                  <m:rPr>
                    <m:sty m:val="p"/>
                  </m:rPr>
                  <m:t>/</m:t>
                </m:r>
                <m:sSub>
                  <m:sSubPr/>
                  <m:e>
                    <m:r>
                      <m:rPr>
                        <m:sty m:val="p"/>
                      </m:rPr>
                      <m:t>Fe</m:t>
                    </m:r>
                  </m:e>
                  <m:sub>
                    <m:r>
                      <m:rPr>
                        <m:sty m:val="p"/>
                      </m:rPr>
                      <m:t>(</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H</m:t>
                    </m:r>
                  </m:e>
                  <m:sub>
                    <m:r>
                      <m:rPr>
                        <m:sty m:val="p"/>
                      </m:rPr>
                      <m:t>(</m:t>
                    </m:r>
                    <m:r>
                      <m:rPr>
                        <m:sty m:val="p"/>
                      </m:rPr>
                      <m:t>aq</m:t>
                    </m:r>
                    <m:r>
                      <m:rPr>
                        <m:sty m:val="p"/>
                      </m:rPr>
                      <m:t>)</m:t>
                    </m:r>
                  </m:sub>
                  <m:sup>
                    <m:r>
                      <m:rPr>
                        <m:sty m:val="p"/>
                      </m:rPr>
                      <m:t>+</m:t>
                    </m:r>
                  </m:sup>
                </m:sSubSup>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Cu</m:t>
                    </m:r>
                  </m:e>
                  <m:sub>
                    <m:r>
                      <m:rPr>
                        <m:sty m:val="p"/>
                      </m:rPr>
                      <m:t>(</m:t>
                    </m:r>
                    <m:r>
                      <m:rPr>
                        <m:sty m:val="p"/>
                      </m:rPr>
                      <m:t>aq</m:t>
                    </m:r>
                    <m:r>
                      <m:rPr>
                        <m:sty m:val="p"/>
                      </m:rPr>
                      <m:t>)</m:t>
                    </m:r>
                  </m:sub>
                  <m:sup>
                    <m:r>
                      <m:rPr>
                        <m:sty m:val="p"/>
                      </m:rPr>
                      <m:t>2</m:t>
                    </m:r>
                    <m:r>
                      <m:rPr>
                        <m:sty m:val="p"/>
                      </m:rPr>
                      <m:t>+</m:t>
                    </m:r>
                  </m:sup>
                </m:sSubSup>
                <m:r>
                  <m:rPr>
                    <m:sty m:val="p"/>
                  </m:rPr>
                  <m:t>/</m:t>
                </m:r>
                <m:sSub>
                  <m:sSubPr/>
                  <m:e>
                    <m:r>
                      <m:rPr>
                        <m:sty m:val="p"/>
                      </m:rPr>
                      <m:t>Cu</m:t>
                    </m:r>
                  </m:e>
                  <m:sub>
                    <m:r>
                      <m:rPr>
                        <m:sty m:val="p"/>
                      </m:rPr>
                      <m:t>(</m:t>
                    </m:r>
                    <m:r>
                      <m:rPr>
                        <m:sty m:val="p"/>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NO</m:t>
                    </m:r>
                  </m:e>
                  <m:sub>
                    <m:r>
                      <m:rPr>
                        <m:sty m:val="p"/>
                      </m:rPr>
                      <m:t>3</m:t>
                    </m:r>
                    <m:r>
                      <m:rPr>
                        <m:sty m:val="p"/>
                      </m:rPr>
                      <m:t>(</m:t>
                    </m:r>
                    <m:r>
                      <m:rPr>
                        <m:sty m:val="p"/>
                      </m:rPr>
                      <m:t>aq</m:t>
                    </m:r>
                    <m:r>
                      <m:rPr>
                        <m:sty m:val="p"/>
                      </m:rPr>
                      <m:t>)</m:t>
                    </m:r>
                  </m:sub>
                  <m:sup>
                    <m:r>
                      <m:rPr>
                        <m:sty m:val="p"/>
                      </m:rPr>
                      <m:t>−</m:t>
                    </m:r>
                  </m:sup>
                </m:sSubSup>
                <m:r>
                  <m:rPr>
                    <m:sty m:val="p"/>
                  </m:rPr>
                  <m:t>/</m:t>
                </m:r>
                <m:sSub>
                  <m:sSubPr/>
                  <m:e>
                    <m:r>
                      <m:rPr>
                        <m:sty m:val="p"/>
                      </m:rPr>
                      <m:t>NO</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i"/>
                      </m:rPr>
                      <m:t>ℓ</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i"/>
                      </m:rPr>
                      <m:t>E</m:t>
                    </m:r>
                  </m:e>
                  <m:sup>
                    <m:r>
                      <m:rPr>
                        <m:sty m:val="p"/>
                      </m:rPr>
                      <m:t>∘</m:t>
                    </m:r>
                  </m:sup>
                </m:sSup>
                <m:r>
                  <m:rPr>
                    <m:sty m:val="p"/>
                  </m:rPr>
                  <m:t>(</m:t>
                </m:r>
                <m:r>
                  <m:rPr>
                    <m:sty m:val="p"/>
                  </m:rPr>
                  <m:t>V</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44</m:t>
                </m:r>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0,34</w:t>
            </w:r>
          </w:p>
        </w:tc>
        <w:tc>
          <w:tcPr>
            <w:tcBorders>
              <w:bottom w:val="single" w:sz="8" w:space="0" w:color="000000"/>
              <w:right w:val="single" w:sz="8" w:space="0" w:color="000000"/>
            </w:tcBorders>
            <w:vAlign w:val="center"/>
          </w:tcPr>
          <w:p>
            <w:pPr>
              <w:spacing w:lineRule="auto"/>
              <w:jc w:val="center"/>
            </w:pPr>
            <w:r>
              <w:rPr/>
              <w:t xml:space="preserve">0,96</w:t>
            </w:r>
          </w:p>
        </w:tc>
        <w:tc>
          <w:tcPr>
            <w:tcBorders>
              <w:bottom w:val="single" w:sz="8" w:space="0" w:color="000000"/>
              <w:right w:val="single" w:sz="8" w:space="0" w:color="000000"/>
            </w:tcBorders>
            <w:vAlign w:val="center"/>
          </w:tcPr>
          <w:p>
            <w:pPr>
              <w:spacing w:lineRule="auto"/>
              <w:jc w:val="center"/>
            </w:pPr>
            <w:r>
              <w:rPr/>
              <w:t xml:space="preserve">1,23</w:t>
            </w:r>
          </w:p>
        </w:tc>
      </w:tr>
    </w:tbl>
    <w:p>
      <w:pPr>
        <w:spacing w:lineRule="auto"/>
      </w:pPr>
    </w:p>
    <w:p>
      <w:pPr>
        <w:spacing w:line="271" w:before="330" w:lineRule="auto"/>
      </w:pPr>
      <w:r>
        <w:rPr>
          <w:rFonts w:eastAsia="Georgia" w:cs="Georgia" w:ascii="Georgia" w:hAnsi="Georgia"/>
          <w:b/>
          <w:sz w:val="42"/>
        </w:rPr>
        <w:t xml:space="preserve">Grandeurs thermodynamiques à 298 K</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m:t>
                    </m:r>
                  </m:e>
                  <m:sub>
                    <m:r>
                      <m:rPr>
                        <m:sty m:val="p"/>
                      </m:rPr>
                      <m:t>(</m:t>
                    </m:r>
                    <m:r>
                      <m:rPr>
                        <m:sty m:val="i"/>
                      </m:rPr>
                      <m:t>α</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N</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SO</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SO</m:t>
                    </m:r>
                  </m:e>
                  <m:sub>
                    <m:r>
                      <m:rPr>
                        <m:sty m:val="p"/>
                      </m:rPr>
                      <m:t>3</m:t>
                    </m:r>
                    <m:r>
                      <m:rPr>
                        <m:sty m:val="p"/>
                      </m:rPr>
                      <m:t>(</m:t>
                    </m:r>
                    <m:r>
                      <m:rPr>
                        <m:nor/>
                      </m:rPr>
                      <m:t xml:space="preserve"> </m:t>
                    </m:r>
                    <m:r>
                      <m:rPr>
                        <m:sty m:val="p"/>
                      </m:rPr>
                      <m:t>g</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p"/>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-297</w:t>
            </w:r>
          </w:p>
        </w:tc>
        <w:tc>
          <w:tcPr>
            <w:tcBorders>
              <w:bottom w:val="single" w:sz="8" w:space="0" w:color="000000"/>
              <w:right w:val="single" w:sz="8" w:space="0" w:color="000000"/>
            </w:tcBorders>
            <w:vAlign w:val="center"/>
          </w:tcPr>
          <w:p>
            <w:pPr>
              <w:spacing w:lineRule="auto"/>
              <w:jc w:val="center"/>
            </w:pPr>
            <w:r>
              <w:rPr/>
              <w:t xml:space="preserve">-396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S</m:t>
                    </m:r>
                  </m:e>
                  <m:sub>
                    <m:r>
                      <m:rPr>
                        <m:sty m:val="p"/>
                      </m:rPr>
                      <m:t>m</m:t>
                    </m:r>
                  </m:sub>
                  <m:sup>
                    <m:r>
                      <m:rPr>
                        <m:sty m:val="p"/>
                      </m:rPr>
                      <m:t>∘</m:t>
                    </m:r>
                  </m:sup>
                </m:sSubSup>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31,8</w:t>
            </w:r>
          </w:p>
        </w:tc>
        <w:tc>
          <w:tcPr>
            <w:tcBorders>
              <w:bottom w:val="single" w:sz="8" w:space="0" w:color="000000"/>
              <w:right w:val="single" w:sz="8" w:space="0" w:color="000000"/>
            </w:tcBorders>
            <w:vAlign w:val="center"/>
          </w:tcPr>
          <w:p>
            <w:pPr>
              <w:spacing w:lineRule="auto"/>
              <w:jc w:val="center"/>
            </w:pPr>
            <w:r>
              <w:rPr/>
              <w:t xml:space="preserve">205</w:t>
            </w:r>
          </w:p>
        </w:tc>
        <w:tc>
          <w:tcPr>
            <w:tcBorders>
              <w:bottom w:val="single" w:sz="8" w:space="0" w:color="000000"/>
              <w:right w:val="single" w:sz="8" w:space="0" w:color="000000"/>
            </w:tcBorders>
            <w:vAlign w:val="center"/>
          </w:tcPr>
          <w:p>
            <w:pPr>
              <w:spacing w:lineRule="auto"/>
              <w:jc w:val="center"/>
            </w:pPr>
            <w:r>
              <w:rPr/>
              <w:t xml:space="preserve">192</w:t>
            </w:r>
          </w:p>
        </w:tc>
        <w:tc>
          <w:tcPr>
            <w:tcBorders>
              <w:bottom w:val="single" w:sz="8" w:space="0" w:color="000000"/>
              <w:right w:val="single" w:sz="8" w:space="0" w:color="000000"/>
            </w:tcBorders>
            <w:vAlign w:val="center"/>
          </w:tcPr>
          <w:p>
            <w:pPr>
              <w:spacing w:lineRule="auto"/>
              <w:jc w:val="center"/>
            </w:pPr>
            <w:r>
              <w:rPr/>
              <w:t xml:space="preserve">248</w:t>
            </w:r>
          </w:p>
        </w:tc>
        <w:tc>
          <w:tcPr>
            <w:tcBorders>
              <w:bottom w:val="single" w:sz="8" w:space="0" w:color="000000"/>
              <w:right w:val="single" w:sz="8" w:space="0" w:color="000000"/>
            </w:tcBorders>
            <w:vAlign w:val="center"/>
          </w:tcPr>
          <w:p>
            <w:pPr>
              <w:spacing w:lineRule="auto"/>
              <w:jc w:val="center"/>
            </w:pPr>
            <w:r>
              <w:rPr/>
              <w:t xml:space="preserve">257</w:t>
            </w: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9f5b8ef8b0d66b202a253a697b4fca5fa9fb093.jpg" TargetMode="Internal"/><Relationship Id="rId6" Type="http://schemas.openxmlformats.org/officeDocument/2006/relationships/image" Target="media/image-677e0b49c3e805e59b879450d250edb7559310ae.jpg" TargetMode="Internal"/><Relationship Id="rId7" Type="http://schemas.openxmlformats.org/officeDocument/2006/relationships/image" Target="media/image-7238bd0f98f14b70614562359e1ffc3db9574680.jpg" TargetMode="Internal"/><Relationship Id="rId8" Type="http://schemas.openxmlformats.org/officeDocument/2006/relationships/image" Target="media/image-8215e61cf940eab179e6865821193431a67314db.jpg" TargetMode="Internal"/><Relationship Id="rId9" Type="http://schemas.openxmlformats.org/officeDocument/2006/relationships/image" Target="media/image-10d01ec93291c41af3227883f15af5575aaf1a81.jpg" TargetMode="Internal"/><Relationship Id="rId10" Type="http://schemas.openxmlformats.org/officeDocument/2006/relationships/image" Target="media/image-b79b5f9488c426334319b5300ec343b693ee1fda.jpg" TargetMode="Internal"/><Relationship Id="rId11" Type="http://schemas.openxmlformats.org/officeDocument/2006/relationships/image" Target="media/image-e96b1c14289402fe9e5592e86e0806bca04b34f5.jpg" TargetMode="Internal"/><Relationship Id="rId12" Type="http://schemas.openxmlformats.org/officeDocument/2006/relationships/image" Target="media/image-4c616175787c0fcf22e30614a7cd75f101f381d3.jpg" TargetMode="Internal"/><Relationship Id="rId13" Type="http://schemas.openxmlformats.org/officeDocument/2006/relationships/image" Target="media/image-cbeba433abbe6d1e1e17404a08811445c4caadc3.jpg" TargetMode="Internal"/><Relationship Id="rId14" Type="http://schemas.openxmlformats.org/officeDocument/2006/relationships/image" Target="media/image-dd368c800e68f908fefe9e1cf8b019f11a3f9e7f.jpg" TargetMode="Internal"/><Relationship Id="rId15" Type="http://schemas.openxmlformats.org/officeDocument/2006/relationships/image" Target="media/image-bfc1d6766abd3901fe58a19d79e8f6c999971cd9.jpg" TargetMode="Internal"/><Relationship Id="rId16" Type="http://schemas.openxmlformats.org/officeDocument/2006/relationships/image" Target="media/image-662e71f91789eaa20f7212ba5279f49f826272ff.jpg" TargetMode="Internal"/><Relationship Id="rId17" Type="http://schemas.openxmlformats.org/officeDocument/2006/relationships/image" Target="media/image-82349b932815b5fafba2fda2daeaa65292131cdd.jpg" TargetMode="Internal"/><Relationship Id="rId18" Type="http://schemas.openxmlformats.org/officeDocument/2006/relationships/image" Target="media/image-bbf27605aa96c3b84e972073c37bc35c7d09e808.jpg" TargetMode="Internal"/><Relationship Id="rId19" Type="http://schemas.openxmlformats.org/officeDocument/2006/relationships/image" Target="media/image-d0afdbb1808810d94d7232c2ea98abd89c9b4fda.jpg" TargetMode="Internal"/><Relationship Id="rId20" Type="http://schemas.openxmlformats.org/officeDocument/2006/relationships/image" Target="media/image-49bd8dce02f19542d78d7bc4201a8bd4d69a5d8e.jpg" TargetMode="Internal"/><Relationship Id="rId21" Type="http://schemas.openxmlformats.org/officeDocument/2006/relationships/image" Target="media/image-ec76f4d1b99ad2360ab4052998808a52be6016b2.jpg" TargetMode="Internal"/><Relationship Id="rId22" Type="http://schemas.openxmlformats.org/officeDocument/2006/relationships/image" Target="media/image-197041af6d395b026ce10bee6af68f7b04a1d04d.jpg" TargetMode="Internal"/><Relationship Id="rId23" Type="http://schemas.openxmlformats.org/officeDocument/2006/relationships/image" Target="media/image-f1a1fd5d84d73a8e7515c18452e185b4c625981e.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