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Certaines questions, repérées par une barre en marge, ne sont pas guidées et demandent de l'initiative de la part du candidat. Elles sont très significativement valorisées dans le barème. Même si elles n'ont pas abouti, les pistes de recherche doivent être consignées par le candidat et seront valorisées si elles sont pertinentes. Le barème tient compte du temps nécessaire pour explorer ces pistes et élaborer un raisonnement.</w:t>
      </w:r>
    </w:p>
    <w:p>
      <w:pPr>
        <w:spacing w:after="220" w:lineRule="auto"/>
      </w:pPr>
      <w:r>
        <w:rPr>
          <w:rFonts w:eastAsia="Georgia" w:cs="Georgia" w:ascii="Georgia" w:hAnsi="Georgia"/>
        </w:rPr>
        <w:t xml:space="preserve">Fin 2012, une société gérant la production et la distribution d'eau de l'agglomération du Grand Angoulême (110 000 habitants sur 16 communes) a décidé de substituer les deux moteurs asynchrones entrainant la pompe alimentant le château d'eau de Ruelle sur Touvre par un seul moteur synchrone à aimants permanents de puissance 350 W à </w:t>
      </w:r>
      <m:oMath>
        <m:r>
          <m:rPr>
            <m:sty m:val="p"/>
          </m:rPr>
          <m:t>1500</m:t>
        </m:r>
        <m:r>
          <m:rPr>
            <m:sty m:val="p"/>
          </m:rPr>
          <m:t>tr</m:t>
        </m:r>
        <m:r>
          <m:rPr>
            <m:sty m:val="p"/>
          </m:rPr>
          <m:t>⋅</m:t>
        </m:r>
        <m:sSup>
          <m:sSupPr/>
          <m:e>
            <m:r>
              <m:rPr>
                <m:sty m:val="p"/>
              </m:rPr>
              <m:t>min</m:t>
            </m:r>
          </m:e>
          <m:sup>
            <m:r>
              <m:rPr>
                <m:sty m:val="p"/>
              </m:rPr>
              <m:t>−</m:t>
            </m:r>
            <m:r>
              <m:rPr>
                <m:sty m:val="p"/>
              </m:rPr>
              <m:t>1</m:t>
            </m:r>
          </m:sup>
        </m:sSup>
      </m:oMath>
      <w:r>
        <w:rPr>
          <w:rFonts w:eastAsia="Georgia" w:cs="Georgia" w:ascii="Georgia" w:hAnsi="Georgia"/>
        </w:rPr>
        <w:t xml:space="preserve"> commandé par un variateur spécifique. Même s'il s'agit le plus souvent de régime continu, ce dernier participe à réduire la facture énergétique lors de variations de débit imposées. Les pertes rotoriques d'un moteur asynchrone (liées à la différence de vitesse entre le rotor et le champ statorique tournant (glissement)) représentent près du tiers des pertes totales. Les pertes dans un rotor à aimants permanents sont négligeables en comparaison et le variateur n'augmente la consommation énergétique que de </w:t>
      </w:r>
      <m:oMath>
        <m:r>
          <m:rPr>
            <m:sty m:val="p"/>
          </m:rPr>
          <m:t>3</m:t>
        </m:r>
        <m:r>
          <m:rPr>
            <m:sty m:val="p"/>
          </m:rPr>
          <m:t>%</m:t>
        </m:r>
      </m:oMath>
      <w:r>
        <w:rPr>
          <w:rFonts w:eastAsia="Georgia" w:cs="Georgia" w:ascii="Georgia" w:hAnsi="Georgia"/>
        </w:rPr>
        <w:t xml:space="preserve">. La consommation énergétique de l'installation est réduite de </w:t>
      </w:r>
      <m:oMath>
        <m:r>
          <m:rPr>
            <m:sty m:val="p"/>
          </m:rPr>
          <m:t>10</m:t>
        </m:r>
        <m:r>
          <m:rPr>
            <m:sty m:val="p"/>
          </m:rPr>
          <m:t>%</m:t>
        </m:r>
      </m:oMath>
      <w:r>
        <w:rPr>
          <w:rFonts w:eastAsia="Georgia" w:cs="Georgia" w:ascii="Georgia" w:hAnsi="Georgia"/>
        </w:rPr>
        <w:t xml:space="preserve"> par mètre cube transféré et l'installation peut assurer un débit de </w:t>
      </w:r>
      <m:oMath>
        <m:r>
          <m:rPr>
            <m:sty m:val="p"/>
          </m:rPr>
          <m:t>115</m:t>
        </m:r>
        <m:r>
          <m:rPr>
            <m:sty m:val="p"/>
          </m:rPr>
          <m:t>%</m:t>
        </m:r>
      </m:oMath>
      <w:r>
        <w:rPr>
          <w:rFonts w:eastAsia="Georgia" w:cs="Georgia" w:ascii="Georgia" w:hAnsi="Georgia"/>
        </w:rPr>
        <w:t xml:space="preserve"> de son régime nominal pendant les 8 h de tarif de nuit de consommation électrique. Une étude a montré que le surcoût lié à la vitesse variable serait amorti en 14 mois.</w:t>
      </w:r>
      <w:r>
        <w:rPr/>
        <w:br w:type="textWrapping"/>
      </w:r>
      <w:r>
        <w:rPr>
          <w:rFonts w:eastAsia="Georgia" w:cs="Georgia" w:ascii="Georgia" w:hAnsi="Georgia"/>
        </w:rPr>
        <w:t xml:space="preserve">Dans ce sujet, nous nous intéresserons à une autre installation de même type. Après avoir évalué les pertes de charge dans les 8400 m de conduit reliant la pompe au château d'eau, nous proposerons une pompe centrifuge au point de fonctionnement convenable compte tenu du débit et de la hauteur manométrique totale. Une troisième partie sera consacrée à l'étude de principe d'un moteur synchrone à aimants permanents censé entrainer chacune des pompes.</w:t>
      </w:r>
    </w:p>
    <w:p>
      <w:pPr>
        <w:spacing w:line="271" w:before="330" w:lineRule="auto"/>
      </w:pPr>
      <w:r>
        <w:rPr>
          <w:b/>
          <w:sz w:val="42"/>
        </w:rPr>
        <w:t xml:space="preserve">I Pertes de charge dans les conduites</w:t>
      </w:r>
    </w:p>
    <w:p>
      <w:pPr>
        <w:spacing w:after="220" w:lineRule="auto"/>
      </w:pPr>
      <w:r>
        <w:rPr>
          <w:rFonts w:eastAsia="Georgia" w:cs="Georgia" w:ascii="Georgia" w:hAnsi="Georgia"/>
        </w:rPr>
        <w:t xml:space="preserve">Hormis la question I.B. 3 sur les pertes singulières, nous considérerons dans toute cette partie des conduites rectilignes à section circulaire constante.</w:t>
      </w:r>
    </w:p>
    <w:p>
      <w:pPr>
        <w:spacing w:line="271" w:before="330" w:lineRule="auto"/>
      </w:pPr>
      <w:r>
        <w:rPr>
          <w:rFonts w:eastAsia="Georgia" w:cs="Georgia" w:ascii="Georgia" w:hAnsi="Georgia"/>
          <w:b/>
          <w:sz w:val="42"/>
        </w:rPr>
        <w:t xml:space="preserve">I.A - Fluide en écoulement homogène incompressible laminaire</w:t>
      </w:r>
    </w:p>
    <w:p>
      <w:pPr>
        <w:spacing w:after="220" w:lineRule="auto"/>
      </w:pPr>
      <w:r>
        <w:rPr>
          <w:rFonts w:eastAsia="Georgia" w:cs="Georgia" w:ascii="Georgia" w:hAnsi="Georgia"/>
        </w:rPr>
        <w:t xml:space="preserve">I.A.1) Que devient la relation de Bernoulli d'un fluide visqueux en régime laminaire stationnaire?</w:t>
      </w:r>
      <w:r>
        <w:rPr/>
        <w:br w:type="textWrapping"/>
      </w:r>
      <w:r>
        <w:rPr>
          <w:rFonts w:eastAsia="Georgia" w:cs="Georgia" w:ascii="Georgia" w:hAnsi="Georgia"/>
        </w:rPr>
        <w:t xml:space="preserve">a) Rappeler les définitions d'un écoulement parfait de fluide, d'un écoulement homogène incompressible, d'un écoulement stationnaire.</w:t>
      </w:r>
      <w:r>
        <w:rPr/>
        <w:br w:type="textWrapping"/>
      </w:r>
      <w:r>
        <w:rPr>
          <w:rFonts w:eastAsia="Georgia" w:cs="Georgia" w:ascii="Georgia" w:hAnsi="Georgia"/>
        </w:rPr>
        <w:t xml:space="preserve">b) Dans le cas d'un fluide parfait en écoulement homogène incompressible stationnaire, retrouver la relation de Bernoulli à partir du premier principe de la thermodynamique exprimé relativement à un système ouvert en régime permanent. Préciser alors la grandeur volumique énergétique </w:t>
      </w:r>
      <m:oMath>
        <m:sSub>
          <m:sSubPr/>
          <m:e>
            <m:r>
              <m:rPr>
                <m:sty m:val="i"/>
              </m:rPr>
              <m:t>e</m:t>
            </m:r>
          </m:e>
          <m:sub>
            <m:r>
              <m:rPr>
                <m:sty m:val="i"/>
              </m:rPr>
              <m:t>T</m:t>
            </m:r>
          </m:sub>
        </m:sSub>
      </m:oMath>
      <w:r>
        <w:rPr/>
        <w:t xml:space="preserve"> uniforme sur une ligne de courant.</w:t>
      </w:r>
      <w:r>
        <w:rPr/>
        <w:br w:type="textWrapping"/>
      </w:r>
      <w:r>
        <w:rPr/>
        <w:t xml:space="preserve">On lui associera une hauteur </w:t>
      </w:r>
      <m:oMath>
        <m:r>
          <m:rPr>
            <m:sty m:val="i"/>
          </m:rPr>
          <m:t>H</m:t>
        </m:r>
      </m:oMath>
      <w:r>
        <w:rPr>
          <w:rFonts w:eastAsia="Georgia" w:cs="Georgia" w:ascii="Georgia" w:hAnsi="Georgia"/>
        </w:rPr>
        <w:t xml:space="preserve"> appelée hauteur manométrique ou charge totale :</w:t>
      </w:r>
    </w:p>
    <w:p>
      <w:pPr>
        <w:spacing w:after="220" w:lineRule="auto"/>
      </w:pPr>
      <m:oMathPara>
        <m:oMath>
          <m:r>
            <m:rPr>
              <m:sty m:val="i"/>
            </m:rPr>
            <m:t>H</m:t>
          </m:r>
          <m:r>
            <m:rPr>
              <m:sty m:val="p"/>
            </m:rPr>
            <m:t>=</m:t>
          </m:r>
          <m:r>
            <m:rPr>
              <m:sty m:val="i"/>
            </m:rPr>
            <m:t>z</m:t>
          </m:r>
          <m:r>
            <m:rPr>
              <m:sty m:val="p"/>
            </m:rPr>
            <m:t>+</m:t>
          </m:r>
          <m:f>
            <m:fPr>
              <m:ctrlPr>
                <w:rPr>
                  <w:rFonts w:ascii="Cambria Math" w:hAnsi="Cambria Math"/>
                </w:rPr>
              </m:ctrlPr>
            </m:fPr>
            <m:num>
              <m:r>
                <m:rPr>
                  <m:sty m:val="i"/>
                </m:rPr>
                <m:t>p</m:t>
              </m:r>
            </m:num>
            <m:den>
              <m:r>
                <m:rPr>
                  <m:sty m:val="i"/>
                </m:rPr>
                <m:t>ρ</m:t>
              </m:r>
              <m:r>
                <m:rPr>
                  <m:sty m:val="i"/>
                </m:rPr>
                <m:t>g</m:t>
              </m:r>
            </m:den>
          </m:f>
          <m:r>
            <m:rPr>
              <m:sty m:val="p"/>
            </m:rPr>
            <m:t>+</m:t>
          </m:r>
          <m:f>
            <m:fPr>
              <m:ctrlPr>
                <w:rPr>
                  <w:rFonts w:ascii="Cambria Math" w:hAnsi="Cambria Math"/>
                </w:rPr>
              </m:ctrlPr>
            </m:fPr>
            <m:num>
              <m:sSup>
                <m:sSupPr/>
                <m:e>
                  <m:r>
                    <m:rPr>
                      <m:sty m:val="i"/>
                    </m:rPr>
                    <m:t>v</m:t>
                  </m:r>
                </m:e>
                <m:sup>
                  <m:r>
                    <m:rPr>
                      <m:sty m:val="p"/>
                    </m:rPr>
                    <m:t>2</m:t>
                  </m:r>
                </m:sup>
              </m:sSup>
            </m:num>
            <m:den>
              <m:r>
                <m:rPr>
                  <m:sty m:val="p"/>
                </m:rPr>
                <m:t>2</m:t>
              </m:r>
              <m:r>
                <m:rPr>
                  <m:sty m:val="i"/>
                </m:rPr>
                <m:t>g</m:t>
              </m:r>
            </m:den>
          </m:f>
        </m:oMath>
      </m:oMathPara>
    </w:p>
    <w:p>
      <w:pPr>
        <w:spacing w:after="220" w:lineRule="auto"/>
      </w:pPr>
      <w:r>
        <w:rPr>
          <w:rFonts w:eastAsia="Georgia" w:cs="Georgia" w:ascii="Georgia" w:hAnsi="Georgia"/>
        </w:rPr>
        <w:t xml:space="preserve">où </w:t>
      </w:r>
      <m:oMath>
        <m:r>
          <m:rPr>
            <m:sty m:val="i"/>
          </m:rPr>
          <m:t>z</m:t>
        </m:r>
      </m:oMath>
      <w:r>
        <w:rPr/>
        <w:t xml:space="preserve"> est l'altitude, </w:t>
      </w:r>
      <m:oMath>
        <m:r>
          <m:rPr>
            <m:sty m:val="i"/>
          </m:rPr>
          <m:t>p</m:t>
        </m:r>
      </m:oMath>
      <w:r>
        <w:rPr/>
        <w:t xml:space="preserve"> la pression et </w:t>
      </w:r>
      <m:oMath>
        <m:r>
          <m:rPr>
            <m:sty m:val="i"/>
          </m:rPr>
          <m:t>v</m:t>
        </m:r>
      </m:oMath>
      <w:r>
        <w:rPr>
          <w:rFonts w:eastAsia="Georgia" w:cs="Georgia" w:ascii="Georgia" w:hAnsi="Georgia"/>
        </w:rPr>
        <w:t xml:space="preserve"> la vitesse du fluide au point considéré, </w:t>
      </w:r>
      <m:oMath>
        <m:r>
          <m:rPr>
            <m:sty m:val="i"/>
          </m:rPr>
          <m:t>ρ</m:t>
        </m:r>
      </m:oMath>
      <w:r>
        <w:rPr/>
        <w:t xml:space="preserve"> sa masse volumique et </w:t>
      </w:r>
      <m:oMath>
        <m:r>
          <m:rPr>
            <m:sty m:val="i"/>
          </m:rPr>
          <m:t>g</m:t>
        </m:r>
      </m:oMath>
      <w:r>
        <w:rPr>
          <w:rFonts w:eastAsia="Georgia" w:cs="Georgia" w:ascii="Georgia" w:hAnsi="Georgia"/>
        </w:rPr>
        <w:t xml:space="preserve"> l'accélération de la pesanteur </w:t>
      </w:r>
      <m:oMath>
        <m:d>
          <m:dPr>
            <m:begChr m:val="("/>
            <m:endChr m:val=")"/>
            <m:ctrlPr>
              <w:rPr>
                <w:rFonts w:ascii="Cambria Math" w:hAnsi="Cambria Math"/>
              </w:rPr>
            </m:ctrlPr>
          </m:dPr>
          <m:e>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e>
        </m:d>
      </m:oMath>
      <w:r>
        <w:rPr>
          <w:rFonts w:eastAsia="Georgia" w:cs="Georgia" w:ascii="Georgia" w:hAnsi="Georgia"/>
        </w:rPr>
        <w:t xml:space="preserve">. Préciser la relation entre </w:t>
      </w:r>
      <m:oMath>
        <m:sSub>
          <m:sSubPr/>
          <m:e>
            <m:r>
              <m:rPr>
                <m:sty m:val="i"/>
              </m:rPr>
              <m:t>e</m:t>
            </m:r>
          </m:e>
          <m:sub>
            <m:r>
              <m:rPr>
                <m:sty m:val="i"/>
              </m:rPr>
              <m:t>T</m:t>
            </m:r>
          </m:sub>
        </m:sSub>
      </m:oMath>
      <w:r>
        <w:rPr/>
        <w:t xml:space="preserve"> et </w:t>
      </w:r>
      <m:oMath>
        <m:r>
          <m:rPr>
            <m:sty m:val="i"/>
          </m:rPr>
          <m:t>H</m:t>
        </m:r>
      </m:oMath>
      <w:r>
        <w:rPr/>
        <w:t xml:space="preserve">.</w:t>
      </w:r>
      <w:r>
        <w:rPr/>
        <w:br w:type="textWrapping"/>
      </w:r>
      <w:r>
        <w:rPr>
          <w:rFonts w:eastAsia="Georgia" w:cs="Georgia" w:ascii="Georgia" w:hAnsi="Georgia"/>
        </w:rPr>
        <w:t xml:space="preserve">c) Dans quelles zones de l'écoulement laminaire d'un fluide réel, l'hypothèse d'un écoulement parfait est-elle inenvisageable?</w:t>
      </w:r>
      <w:r>
        <w:rPr/>
        <w:br w:type="textWrapping"/>
      </w:r>
      <w:r>
        <w:rPr>
          <w:rFonts w:eastAsia="Georgia" w:cs="Georgia" w:ascii="Georgia" w:hAnsi="Georgia"/>
        </w:rPr>
        <w:t xml:space="preserve">d) Si on tient compte de la viscosité du fluide incompressible et en postulant toujours un régime stationnaire, la grandeur volumique énergétique </w:t>
      </w:r>
      <m:oMath>
        <m:sSub>
          <m:sSubPr/>
          <m:e>
            <m:r>
              <m:rPr>
                <m:sty m:val="i"/>
              </m:rPr>
              <m:t>e</m:t>
            </m:r>
          </m:e>
          <m:sub>
            <m:r>
              <m:rPr>
                <m:sty m:val="i"/>
              </m:rPr>
              <m:t>T</m:t>
            </m:r>
          </m:sub>
        </m:sSub>
      </m:oMath>
      <w:r>
        <w:rPr>
          <w:rFonts w:eastAsia="Georgia" w:cs="Georgia" w:ascii="Georgia" w:hAnsi="Georgia"/>
        </w:rPr>
        <w:t xml:space="preserve"> définie précédemment diminue de </w:t>
      </w:r>
      <m:oMath>
        <m:r>
          <m:rPr>
            <m:sty m:val="i"/>
          </m:rPr>
          <m:t>A</m:t>
        </m:r>
      </m:oMath>
      <w:r>
        <w:rPr>
          <w:rFonts w:eastAsia="Georgia" w:cs="Georgia" w:ascii="Georgia" w:hAnsi="Georgia"/>
        </w:rPr>
        <w:t xml:space="preserve"> à </w:t>
      </w:r>
      <m:oMath>
        <m:r>
          <m:rPr>
            <m:sty m:val="i"/>
          </m:rPr>
          <m:t>B</m:t>
        </m:r>
      </m:oMath>
      <w:r>
        <w:rPr>
          <w:rFonts w:eastAsia="Georgia" w:cs="Georgia" w:ascii="Georgia" w:hAnsi="Georgia"/>
        </w:rPr>
        <w:t xml:space="preserve"> le long d'une ligne de courant. Relier cette variation d'énergie volumique à une intégrale de circulation de </w:t>
      </w:r>
      <m:oMath>
        <m:r>
          <m:rPr>
            <m:sty m:val="i"/>
          </m:rPr>
          <m:t>A</m:t>
        </m:r>
      </m:oMath>
      <w:r>
        <w:rPr>
          <w:rFonts w:eastAsia="Georgia" w:cs="Georgia" w:ascii="Georgia" w:hAnsi="Georgia"/>
        </w:rPr>
        <w:t xml:space="preserve"> à </w:t>
      </w:r>
      <m:oMath>
        <m:r>
          <m:rPr>
            <m:sty m:val="i"/>
          </m:rPr>
          <m:t>B</m:t>
        </m:r>
      </m:oMath>
      <w:r>
        <w:rPr>
          <w:rFonts w:eastAsia="Georgia" w:cs="Georgia" w:ascii="Georgia" w:hAnsi="Georgia"/>
        </w:rPr>
        <w:t xml:space="preserve"> de la densité volumique de force de viscosité </w:t>
      </w:r>
      <m:oMath>
        <m:sSub>
          <m:sSubPr/>
          <m:e>
            <m:acc>
              <m:accPr>
                <m:chr m:val="⃗"/>
              </m:accPr>
              <m:e>
                <m:r>
                  <m:rPr>
                    <m:sty m:val="i"/>
                  </m:rPr>
                  <m:t>f</m:t>
                </m:r>
              </m:e>
            </m:acc>
          </m:e>
          <m:sub>
            <m:r>
              <m:rPr>
                <m:nor/>
              </m:rPr>
              <m:t>visc </m:t>
            </m:r>
          </m:sub>
        </m:sSub>
      </m:oMath>
      <w:r>
        <w:rPr/>
        <w:t xml:space="preserve">.</w:t>
      </w:r>
      <w:r>
        <w:rPr/>
        <w:br w:type="textWrapping"/>
      </w:r>
      <w:r>
        <w:rPr>
          <w:rFonts w:eastAsia="Georgia" w:cs="Georgia" w:ascii="Georgia" w:hAnsi="Georgia"/>
        </w:rPr>
        <w:t xml:space="preserve">e) Dans un fluide incompressible visqueux, la densité volumique de force de viscosité s'écrit </w:t>
      </w:r>
      <m:oMath>
        <m:sSub>
          <m:sSubPr/>
          <m:e>
            <m:acc>
              <m:accPr>
                <m:chr m:val="⃗"/>
              </m:accPr>
              <m:e>
                <m:r>
                  <m:rPr>
                    <m:sty m:val="i"/>
                  </m:rPr>
                  <m:t>f</m:t>
                </m:r>
              </m:e>
            </m:acc>
          </m:e>
          <m:sub>
            <m:r>
              <m:rPr>
                <m:nor/>
              </m:rPr>
              <m:t>visc </m:t>
            </m:r>
          </m:sub>
        </m:sSub>
        <m:r>
          <m:rPr>
            <m:sty m:val="p"/>
          </m:rPr>
          <m:t>=</m:t>
        </m:r>
        <m:r>
          <m:rPr>
            <m:sty m:val="i"/>
          </m:rPr>
          <m:t>η</m:t>
        </m:r>
        <m:r>
          <m:rPr>
            <m:sty m:val="p"/>
          </m:rPr>
          <m:t>Δ</m:t>
        </m:r>
        <m:acc>
          <m:accPr>
            <m:chr m:val="⃗"/>
          </m:accPr>
          <m:e>
            <m:r>
              <m:rPr>
                <m:sty m:val="i"/>
              </m:rPr>
              <m:t>v</m:t>
            </m:r>
          </m:e>
        </m:acc>
      </m:oMath>
      <w:r>
        <w:rPr>
          <w:rFonts w:eastAsia="Georgia" w:cs="Georgia" w:ascii="Georgia" w:hAnsi="Georgia"/>
        </w:rPr>
        <w:t xml:space="preserve">, où </w:t>
      </w:r>
      <m:oMath>
        <m:r>
          <m:rPr>
            <m:sty m:val="i"/>
          </m:rPr>
          <m:t>η</m:t>
        </m:r>
      </m:oMath>
      <w:r>
        <w:rPr>
          <w:rFonts w:eastAsia="Georgia" w:cs="Georgia" w:ascii="Georgia" w:hAnsi="Georgia"/>
        </w:rPr>
        <w:t xml:space="preserve"> est la viscosité dynamique du fluide et </w:t>
      </w:r>
      <m:oMath>
        <m:r>
          <m:rPr>
            <m:sty m:val="p"/>
          </m:rPr>
          <m:t>Δ</m:t>
        </m:r>
        <m:acc>
          <m:accPr>
            <m:chr m:val="⃗"/>
          </m:accPr>
          <m:e>
            <m:r>
              <m:rPr>
                <m:sty m:val="i"/>
              </m:rPr>
              <m:t>v</m:t>
            </m:r>
          </m:e>
        </m:acc>
      </m:oMath>
      <w:r>
        <w:rPr/>
        <w:t xml:space="preserve"> le laplacien vectoriel de la vitesse locale.</w:t>
      </w:r>
      <w:r>
        <w:rPr/>
        <w:br w:type="textWrapping"/>
      </w:r>
      <w:r>
        <w:rPr>
          <w:rFonts w:eastAsia="Georgia" w:cs="Georgia" w:ascii="Georgia" w:hAnsi="Georgia"/>
        </w:rPr>
        <w:t xml:space="preserve">En déduire, sous forme intégrale, la variation </w:t>
      </w:r>
      <m:oMath>
        <m:r>
          <m:rPr>
            <m:sty m:val="i"/>
          </m:rPr>
          <m:t>H</m:t>
        </m:r>
        <m:r>
          <m:rPr>
            <m:sty m:val="p"/>
          </m:rPr>
          <m:t>(</m:t>
        </m:r>
        <m:r>
          <m:rPr>
            <m:sty m:val="i"/>
          </m:rPr>
          <m:t>B</m:t>
        </m:r>
        <m:r>
          <m:rPr>
            <m:sty m:val="p"/>
          </m:rPr>
          <m:t>)</m:t>
        </m:r>
        <m:r>
          <m:rPr>
            <m:sty m:val="p"/>
          </m:rPr>
          <m:t>−</m:t>
        </m:r>
        <m:r>
          <m:rPr>
            <m:sty m:val="i"/>
          </m:rPr>
          <m:t>H</m:t>
        </m:r>
        <m:r>
          <m:rPr>
            <m:sty m:val="p"/>
          </m:rPr>
          <m:t>(</m:t>
        </m:r>
        <m:r>
          <m:rPr>
            <m:sty m:val="i"/>
          </m:rPr>
          <m:t>A</m:t>
        </m:r>
        <m:r>
          <m:rPr>
            <m:sty m:val="p"/>
          </m:rPr>
          <m:t>)</m:t>
        </m:r>
      </m:oMath>
      <w:r>
        <w:rPr>
          <w:rFonts w:eastAsia="Georgia" w:cs="Georgia" w:ascii="Georgia" w:hAnsi="Georgia"/>
        </w:rPr>
        <w:t xml:space="preserve"> de hauteur manométrique d'un point </w:t>
      </w:r>
      <m:oMath>
        <m:r>
          <m:rPr>
            <m:sty m:val="i"/>
          </m:rPr>
          <m:t>A</m:t>
        </m:r>
      </m:oMath>
      <w:r>
        <w:rPr>
          <w:rFonts w:eastAsia="Georgia" w:cs="Georgia" w:ascii="Georgia" w:hAnsi="Georgia"/>
        </w:rPr>
        <w:t xml:space="preserve"> à un point </w:t>
      </w:r>
      <m:oMath>
        <m:r>
          <m:rPr>
            <m:sty m:val="i"/>
          </m:rPr>
          <m:t>B</m:t>
        </m:r>
      </m:oMath>
      <w:r>
        <w:rPr/>
        <w:t xml:space="preserve"> le long d'une ligne de courant allant de </w:t>
      </w:r>
      <m:oMath>
        <m:r>
          <m:rPr>
            <m:sty m:val="i"/>
          </m:rPr>
          <m:t>A</m:t>
        </m:r>
      </m:oMath>
      <w:r>
        <w:rPr>
          <w:rFonts w:eastAsia="Georgia" w:cs="Georgia" w:ascii="Georgia" w:hAnsi="Georgia"/>
        </w:rPr>
        <w:t xml:space="preserve"> à </w:t>
      </w:r>
      <m:oMath>
        <m:r>
          <m:rPr>
            <m:sty m:val="i"/>
          </m:rPr>
          <m:t>B</m:t>
        </m:r>
      </m:oMath>
      <w:r>
        <w:rPr>
          <w:rFonts w:eastAsia="Georgia" w:cs="Georgia" w:ascii="Georgia" w:hAnsi="Georgia"/>
        </w:rPr>
        <w:t xml:space="preserve">. La quantité </w:t>
      </w:r>
      <m:oMath>
        <m:r>
          <m:rPr>
            <m:sty m:val="p"/>
          </m:rPr>
          <m:t>Δ</m:t>
        </m:r>
        <m:r>
          <m:rPr>
            <m:sty m:val="i"/>
          </m:rPr>
          <m:t>H</m:t>
        </m:r>
        <m:r>
          <m:rPr>
            <m:sty m:val="p"/>
          </m:rPr>
          <m:t>=</m:t>
        </m:r>
        <m:r>
          <m:rPr>
            <m:sty m:val="i"/>
          </m:rPr>
          <m:t>H</m:t>
        </m:r>
        <m:r>
          <m:rPr>
            <m:sty m:val="p"/>
          </m:rPr>
          <m:t>(</m:t>
        </m:r>
        <m:r>
          <m:rPr>
            <m:sty m:val="i"/>
          </m:rPr>
          <m:t>A</m:t>
        </m:r>
        <m:r>
          <m:rPr>
            <m:sty m:val="p"/>
          </m:rPr>
          <m:t>)</m:t>
        </m:r>
        <m:r>
          <m:rPr>
            <m:sty m:val="p"/>
          </m:rPr>
          <m:t>−</m:t>
        </m:r>
        <m:r>
          <m:rPr>
            <m:sty m:val="i"/>
          </m:rPr>
          <m:t>H</m:t>
        </m:r>
        <m:r>
          <m:rPr>
            <m:sty m:val="p"/>
          </m:rPr>
          <m:t>(</m:t>
        </m:r>
        <m:r>
          <m:rPr>
            <m:sty m:val="i"/>
          </m:rPr>
          <m:t>B</m:t>
        </m:r>
        <m:r>
          <m:rPr>
            <m:sty m:val="p"/>
          </m:rPr>
          <m:t>)</m:t>
        </m:r>
      </m:oMath>
      <w:r>
        <w:rPr/>
        <w:t xml:space="preserve"> (positive ou nulle) s'appelle la perte de charge.</w:t>
      </w:r>
    </w:p>
    <w:p>
      <w:pPr>
        <w:spacing w:line="271" w:before="330" w:lineRule="auto"/>
      </w:pPr>
      <w:r>
        <w:rPr>
          <w:rFonts w:eastAsia="Georgia" w:cs="Georgia" w:ascii="Georgia" w:hAnsi="Georgia"/>
          <w:b/>
          <w:sz w:val="42"/>
        </w:rPr>
        <w:t xml:space="preserve">I.A.2) Écoulement de Poiseuille</w:t>
      </w:r>
    </w:p>
    <w:p>
      <w:pPr>
        <w:spacing w:after="220" w:lineRule="auto"/>
      </w:pPr>
      <w:r>
        <w:rPr>
          <w:rFonts w:eastAsia="Georgia" w:cs="Georgia" w:ascii="Georgia" w:hAnsi="Georgia"/>
        </w:rPr>
        <w:t xml:space="preserve">On étudie le cas particulier de l'écoulement laminaire d'un fluide visqueux incompressible dans une conduite rectiligne, de direction </w:t>
      </w:r>
      <m:oMath>
        <m:sSub>
          <m:sSubPr/>
          <m:e>
            <m:acc>
              <m:accPr>
                <m:chr m:val="⃗"/>
              </m:accPr>
              <m:e>
                <m:r>
                  <m:rPr>
                    <m:sty m:val="i"/>
                  </m:rPr>
                  <m:t>e</m:t>
                </m:r>
              </m:e>
            </m:acc>
          </m:e>
          <m:sub>
            <m:r>
              <m:rPr>
                <m:sty m:val="i"/>
              </m:rPr>
              <m:t>x</m:t>
            </m:r>
          </m:sub>
        </m:sSub>
      </m:oMath>
      <w:r>
        <w:rPr/>
        <w:t xml:space="preserve"> horizontale, de section circulaire </w:t>
      </w:r>
      <m:oMath>
        <m:r>
          <m:rPr>
            <m:sty m:val="i"/>
          </m:rPr>
          <m:t>S</m:t>
        </m:r>
      </m:oMath>
      <w:r>
        <w:rPr/>
        <w:t xml:space="preserve"> constante (de rayon </w:t>
      </w:r>
      <m:oMath>
        <m:sSub>
          <m:sSubPr/>
          <m:e>
            <m:r>
              <m:rPr>
                <m:sty m:val="i"/>
              </m:rPr>
              <m:t>r</m:t>
            </m:r>
          </m:e>
          <m:sub>
            <m:r>
              <m:rPr>
                <m:sty m:val="p"/>
              </m:rPr>
              <m:t>0</m:t>
            </m:r>
          </m:sub>
        </m:sSub>
      </m:oMath>
      <w:r>
        <w:rPr>
          <w:rFonts w:eastAsia="Georgia" w:cs="Georgia" w:ascii="Georgia" w:hAnsi="Georgia"/>
        </w:rPr>
        <w:t xml:space="preserve"> ). Compte tenu des symétries du problème, le champ des vitesses s'exprime sous la forme </w:t>
      </w:r>
      <m:oMath>
        <m:acc>
          <m:accPr>
            <m:chr m:val="⃗"/>
          </m:accPr>
          <m:e>
            <m:r>
              <m:rPr>
                <m:sty m:val="i"/>
              </m:rPr>
              <m:t>v</m:t>
            </m:r>
          </m:e>
        </m:acc>
        <m:r>
          <m:rPr>
            <m:sty m:val="p"/>
          </m:rPr>
          <m:t>(</m:t>
        </m:r>
        <m:r>
          <m:rPr>
            <m:sty m:val="i"/>
          </m:rPr>
          <m:t>M</m:t>
        </m:r>
        <m:r>
          <m:rPr>
            <m:sty m:val="p"/>
          </m:rPr>
          <m:t>)</m:t>
        </m:r>
        <m:r>
          <m:rPr>
            <m:sty m:val="p"/>
          </m:rPr>
          <m:t>=</m:t>
        </m:r>
        <m:r>
          <m:rPr>
            <m:sty m:val="i"/>
          </m:rPr>
          <m:t>v</m:t>
        </m:r>
        <m:r>
          <m:rPr>
            <m:sty m:val="p"/>
          </m:rPr>
          <m:t>(</m:t>
        </m:r>
        <m:r>
          <m:rPr>
            <m:sty m:val="i"/>
          </m:rPr>
          <m:t>r</m:t>
        </m:r>
        <m:r>
          <m:rPr>
            <m:sty m:val="p"/>
          </m:rPr>
          <m:t>,</m:t>
        </m:r>
        <m:r>
          <m:rPr>
            <m:sty m:val="i"/>
          </m:rPr>
          <m:t>x</m:t>
        </m:r>
        <m:r>
          <m:rPr>
            <m:sty m:val="p"/>
          </m:rPr>
          <m:t>)</m:t>
        </m:r>
        <m:sSub>
          <m:sSubPr/>
          <m:e>
            <m:acc>
              <m:accPr>
                <m:chr m:val="⃗"/>
              </m:accPr>
              <m:e>
                <m:r>
                  <m:rPr>
                    <m:sty m:val="i"/>
                  </m:rPr>
                  <m:t>e</m:t>
                </m:r>
              </m:e>
            </m:acc>
          </m:e>
          <m:sub>
            <m:r>
              <m:rPr>
                <m:sty m:val="i"/>
              </m:rPr>
              <m:t>x</m:t>
            </m:r>
          </m:sub>
        </m:sSub>
      </m:oMath>
      <w:r>
        <w:rPr>
          <w:rFonts w:eastAsia="Georgia" w:cs="Georgia" w:ascii="Georgia" w:hAnsi="Georgia"/>
        </w:rPr>
        <w:t xml:space="preserve"> où </w:t>
      </w:r>
      <m:oMath>
        <m:r>
          <m:rPr>
            <m:sty m:val="i"/>
          </m:rPr>
          <m:t>r</m:t>
        </m:r>
        <m:r>
          <m:rPr>
            <m:sty m:val="p"/>
          </m:rPr>
          <m:t>=</m:t>
        </m:r>
        <m:rad>
          <m:radPr>
            <m:degHide m:val="1"/>
            <m:ctrlPr>
              <w:rPr>
                <w:rFonts w:ascii="Cambria Math" w:hAnsi="Cambria Math"/>
              </w:rPr>
            </m:ctrlPr>
          </m:radPr>
          <m:deg/>
          <m:e>
            <m:sSup>
              <m:sSupPr/>
              <m:e>
                <m:r>
                  <m:rPr>
                    <m:sty m:val="i"/>
                  </m:rPr>
                  <m:t>y</m:t>
                </m:r>
              </m:e>
              <m:sup>
                <m:r>
                  <m:rPr>
                    <m:sty m:val="p"/>
                  </m:rPr>
                  <m:t>2</m:t>
                </m:r>
              </m:sup>
            </m:sSup>
            <m:r>
              <m:rPr>
                <m:sty m:val="p"/>
              </m:rPr>
              <m:t>+</m:t>
            </m:r>
            <m:sSup>
              <m:sSupPr/>
              <m:e>
                <m:r>
                  <m:rPr>
                    <m:sty m:val="i"/>
                  </m:rPr>
                  <m:t>z</m:t>
                </m:r>
              </m:e>
              <m:sup>
                <m:r>
                  <m:rPr>
                    <m:sty m:val="p"/>
                  </m:rPr>
                  <m:t>2</m:t>
                </m:r>
              </m:sup>
            </m:sSup>
          </m:e>
        </m:rad>
      </m:oMath>
      <w:r>
        <w:rPr/>
        <w:t xml:space="preserve"> est la distance du point </w:t>
      </w:r>
      <m:oMath>
        <m:r>
          <m:rPr>
            <m:sty m:val="i"/>
          </m:rPr>
          <m:t>M</m:t>
        </m:r>
      </m:oMath>
      <w:r>
        <w:rPr>
          <w:rFonts w:eastAsia="Georgia" w:cs="Georgia" w:ascii="Georgia" w:hAnsi="Georgia"/>
        </w:rPr>
        <w:t xml:space="preserve"> à l'axe de révolution de la conduite.</w:t>
      </w:r>
      <w:r>
        <w:rPr/>
        <w:br w:type="textWrapping"/>
      </w:r>
      <w:r>
        <w:rPr/>
        <w:t xml:space="preserve">a) Montrer que la vitesse </w:t>
      </w:r>
      <m:oMath>
        <m:r>
          <m:rPr>
            <m:sty m:val="i"/>
          </m:rPr>
          <m:t>v</m:t>
        </m:r>
        <m:r>
          <m:rPr>
            <m:sty m:val="p"/>
          </m:rPr>
          <m:t>(</m:t>
        </m:r>
        <m:r>
          <m:rPr>
            <m:sty m:val="i"/>
          </m:rPr>
          <m:t>r</m:t>
        </m:r>
        <m:r>
          <m:rPr>
            <m:sty m:val="p"/>
          </m:rPr>
          <m:t>,</m:t>
        </m:r>
        <m:r>
          <m:rPr>
            <m:sty m:val="i"/>
          </m:rPr>
          <m:t>x</m:t>
        </m:r>
        <m:r>
          <m:rPr>
            <m:sty m:val="p"/>
          </m:rPr>
          <m:t>)</m:t>
        </m:r>
      </m:oMath>
      <w:r>
        <w:rPr>
          <w:rFonts w:eastAsia="Georgia" w:cs="Georgia" w:ascii="Georgia" w:hAnsi="Georgia"/>
        </w:rPr>
        <w:t xml:space="preserve"> ne peut dépendre de </w:t>
      </w:r>
      <m:oMath>
        <m:r>
          <m:rPr>
            <m:sty m:val="i"/>
          </m:rPr>
          <m:t>x</m:t>
        </m:r>
      </m:oMath>
      <w:r>
        <w:rPr/>
        <w:t xml:space="preserve">.</w:t>
      </w:r>
      <w:r>
        <w:rPr/>
        <w:br w:type="textWrapping"/>
      </w:r>
      <w:r>
        <w:rPr>
          <w:rFonts w:eastAsia="Georgia" w:cs="Georgia" w:ascii="Georgia" w:hAnsi="Georgia"/>
        </w:rPr>
        <w:t xml:space="preserve">b) En supposant la perte de charge linéique uniforme tout au long de la conduite et en notant </w:t>
      </w:r>
      <m:oMath>
        <m:f>
          <m:fPr>
            <m:ctrlPr>
              <w:rPr>
                <w:rFonts w:ascii="Cambria Math" w:hAnsi="Cambria Math"/>
              </w:rPr>
            </m:ctrlPr>
          </m:fPr>
          <m:num>
            <m:r>
              <m:rPr>
                <m:sty m:val="i"/>
              </m:rPr>
              <m:t>∂</m:t>
            </m:r>
            <m:r>
              <m:rPr>
                <m:sty m:val="i"/>
              </m:rPr>
              <m:t>H</m:t>
            </m:r>
          </m:num>
          <m:den>
            <m:r>
              <m:rPr>
                <m:sty m:val="i"/>
              </m:rPr>
              <m:t>∂</m:t>
            </m:r>
            <m:r>
              <m:rPr>
                <m:sty m:val="i"/>
              </m:rPr>
              <m:t>x</m:t>
            </m:r>
          </m:den>
        </m:f>
        <m:r>
          <m:rPr>
            <m:sty m:val="p"/>
          </m:rPr>
          <m:t>=</m:t>
        </m:r>
        <m:r>
          <m:rPr>
            <m:sty m:val="p"/>
          </m:rPr>
          <m:t>−</m:t>
        </m:r>
        <m:r>
          <m:rPr>
            <m:sty m:val="i"/>
          </m:rPr>
          <m:t>a</m:t>
        </m:r>
      </m:oMath>
      <w:r>
        <w:rPr/>
        <w:t xml:space="preserve"> (avec </w:t>
      </w:r>
      <m:oMath>
        <m:r>
          <m:rPr>
            <m:sty m:val="i"/>
          </m:rPr>
          <m:t>a</m:t>
        </m:r>
        <m:r>
          <m:rPr>
            <m:sty m:val="p"/>
          </m:rPr>
          <m:t>&gt;</m:t>
        </m:r>
        <m:r>
          <m:rPr>
            <m:sty m:val="p"/>
          </m:rPr>
          <m:t>0</m:t>
        </m:r>
      </m:oMath>
      <w:r>
        <w:rPr/>
        <w:t xml:space="preserve"> ), montrer que</w:t>
      </w:r>
    </w:p>
    <w:p>
      <w:pPr>
        <w:spacing w:after="220" w:lineRule="auto"/>
      </w:pPr>
      <m:oMathPara>
        <m:oMath>
          <m:r>
            <m:rPr>
              <m:sty m:val="i"/>
            </m:rPr>
            <m:t>v</m:t>
          </m:r>
          <m:r>
            <m:rPr>
              <m:sty m:val="p"/>
            </m:rPr>
            <m:t>(</m:t>
          </m:r>
          <m:r>
            <m:rPr>
              <m:sty m:val="i"/>
            </m:rPr>
            <m:t>r</m:t>
          </m:r>
          <m:r>
            <m:rPr>
              <m:sty m:val="p"/>
            </m:rPr>
            <m:t>)</m:t>
          </m:r>
          <m:r>
            <m:rPr>
              <m:sty m:val="p"/>
            </m:rPr>
            <m:t>=</m:t>
          </m:r>
          <m:sSub>
            <m:sSubPr/>
            <m:e>
              <m:r>
                <m:rPr>
                  <m:sty m:val="i"/>
                </m:rPr>
                <m:t>v</m:t>
              </m:r>
            </m:e>
            <m:sub>
              <m:r>
                <m:rPr>
                  <m:sty m:val="p"/>
                </m:rPr>
                <m:t>max</m:t>
              </m:r>
            </m:sub>
          </m:sSub>
          <m:d>
            <m:dPr>
              <m:begChr m:val="("/>
              <m:endChr m:val=")"/>
              <m:ctrlPr>
                <w:rPr>
                  <w:rFonts w:ascii="Cambria Math" w:hAnsi="Cambria Math"/>
                </w:rPr>
              </m:ctrlPr>
            </m:dPr>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r</m:t>
                          </m:r>
                        </m:num>
                        <m:den>
                          <m:sSub>
                            <m:sSubPr/>
                            <m:e>
                              <m:r>
                                <m:rPr>
                                  <m:sty m:val="i"/>
                                </m:rPr>
                                <m:t>r</m:t>
                              </m:r>
                            </m:e>
                            <m:sub>
                              <m:r>
                                <m:rPr>
                                  <m:sty m:val="p"/>
                                </m:rPr>
                                <m:t>0</m:t>
                              </m:r>
                            </m:sub>
                          </m:sSub>
                        </m:den>
                      </m:f>
                    </m:e>
                  </m:d>
                </m:e>
                <m:sup>
                  <m:r>
                    <m:rPr>
                      <m:sty m:val="p"/>
                    </m:rPr>
                    <m:t>2</m:t>
                  </m:r>
                </m:sup>
              </m:sSup>
            </m:e>
          </m:d>
          <m:r>
            <m:rPr>
              <m:sty m:val="p"/>
            </m:rPr>
            <m:t xml:space="preserve"> </m:t>
          </m:r>
          <m:r>
            <m:rPr>
              <m:nor/>
            </m:rPr>
            <m:t> avec </m:t>
          </m:r>
          <m:r>
            <m:rPr>
              <m:sty m:val="p"/>
            </m:rPr>
            <m:t xml:space="preserve"> </m:t>
          </m:r>
          <m:sSub>
            <m:sSubPr/>
            <m:e>
              <m:r>
                <m:rPr>
                  <m:sty m:val="i"/>
                </m:rPr>
                <m:t>v</m:t>
              </m:r>
            </m:e>
            <m:sub>
              <m:r>
                <m:rPr>
                  <m:sty m:val="p"/>
                </m:rPr>
                <m:t>max</m:t>
              </m:r>
            </m:sub>
          </m:sSub>
          <m:r>
            <m:rPr>
              <m:sty m:val="p"/>
            </m:rPr>
            <m:t>=</m:t>
          </m:r>
          <m:f>
            <m:fPr>
              <m:ctrlPr>
                <w:rPr>
                  <w:rFonts w:ascii="Cambria Math" w:hAnsi="Cambria Math"/>
                </w:rPr>
              </m:ctrlPr>
            </m:fPr>
            <m:num>
              <m:r>
                <m:rPr>
                  <m:sty m:val="i"/>
                </m:rPr>
                <m:t>ρ</m:t>
              </m:r>
              <m:r>
                <m:rPr>
                  <m:sty m:val="i"/>
                </m:rPr>
                <m:t>g</m:t>
              </m:r>
              <m:r>
                <m:rPr>
                  <m:sty m:val="i"/>
                </m:rPr>
                <m:t>a</m:t>
              </m:r>
            </m:num>
            <m:den>
              <m:r>
                <m:rPr>
                  <m:sty m:val="p"/>
                </m:rPr>
                <m:t>4</m:t>
              </m:r>
              <m:r>
                <m:rPr>
                  <m:sty m:val="i"/>
                </m:rPr>
                <m:t>η</m:t>
              </m:r>
            </m:den>
          </m:f>
          <m:sSubSup>
            <m:sSubSupPr/>
            <m:e>
              <m:r>
                <m:rPr>
                  <m:sty m:val="i"/>
                </m:rPr>
                <m:t>r</m:t>
              </m:r>
            </m:e>
            <m:sub>
              <m:r>
                <m:rPr>
                  <m:sty m:val="p"/>
                </m:rPr>
                <m:t>0</m:t>
              </m:r>
            </m:sub>
            <m:sup>
              <m:r>
                <m:rPr>
                  <m:sty m:val="p"/>
                </m:rPr>
                <m:t>2</m:t>
              </m:r>
            </m:sup>
          </m:sSubSup>
        </m:oMath>
      </m:oMathPara>
    </w:p>
    <w:p>
      <w:pPr>
        <w:spacing w:after="220" w:lineRule="auto"/>
      </w:pPr>
      <w:r>
        <w:rPr>
          <w:rFonts w:eastAsia="Georgia" w:cs="Georgia" w:ascii="Georgia" w:hAnsi="Georgia"/>
        </w:rPr>
        <w:t xml:space="preserve">Dans la symétrie du problème, on a</w:t>
      </w:r>
    </w:p>
    <w:p>
      <w:pPr>
        <w:spacing w:after="220" w:lineRule="auto"/>
      </w:pPr>
      <m:oMathPara>
        <m:oMath>
          <m:r>
            <m:rPr>
              <m:sty m:val="p"/>
            </m:rPr>
            <m:t>Δ</m:t>
          </m:r>
          <m:acc>
            <m:accPr>
              <m:chr m:val="⃗"/>
            </m:accPr>
            <m:e>
              <m:r>
                <m:rPr>
                  <m:sty m:val="i"/>
                </m:rPr>
                <m:t>v</m:t>
              </m:r>
            </m:e>
          </m:acc>
          <m:r>
            <m:rPr>
              <m:sty m:val="p"/>
            </m:rPr>
            <m:t>=</m:t>
          </m:r>
          <m:r>
            <m:rPr>
              <m:sty m:val="p"/>
            </m:rPr>
            <m:t>Δ</m:t>
          </m:r>
          <m:sSub>
            <m:sSubPr/>
            <m:e>
              <m:r>
                <m:rPr>
                  <m:sty m:val="i"/>
                </m:rPr>
                <m:t>v</m:t>
              </m:r>
            </m:e>
            <m:sub>
              <m:r>
                <m:rPr>
                  <m:sty m:val="i"/>
                </m:rPr>
                <m:t>x</m:t>
              </m:r>
            </m:sub>
          </m:sSub>
          <m:sSub>
            <m:sSubPr/>
            <m:e>
              <m:acc>
                <m:accPr>
                  <m:chr m:val="⃗"/>
                </m:accPr>
                <m:e>
                  <m:r>
                    <m:rPr>
                      <m:sty m:val="i"/>
                    </m:rPr>
                    <m:t>e</m:t>
                  </m:r>
                </m:e>
              </m:acc>
            </m:e>
            <m:sub>
              <m:r>
                <m:rPr>
                  <m:sty m:val="i"/>
                </m:rPr>
                <m:t>x</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sSub>
                    <m:sSubPr/>
                    <m:e>
                      <m:r>
                        <m:rPr>
                          <m:sty m:val="i"/>
                        </m:rPr>
                        <m:t>v</m:t>
                      </m:r>
                    </m:e>
                    <m:sub>
                      <m:r>
                        <m:rPr>
                          <m:sty m:val="i"/>
                        </m:rPr>
                        <m:t>x</m:t>
                      </m:r>
                    </m:sub>
                  </m:sSub>
                </m:num>
                <m:den>
                  <m:r>
                    <m:rPr>
                      <m:sty m:val="i"/>
                    </m:rPr>
                    <m:t>∂</m:t>
                  </m:r>
                  <m:r>
                    <m:rPr>
                      <m:sty m:val="i"/>
                    </m:rPr>
                    <m:t>r</m:t>
                  </m:r>
                </m:den>
              </m:f>
            </m:e>
          </m:d>
          <m:sSub>
            <m:sSubPr/>
            <m:e>
              <m:acc>
                <m:accPr>
                  <m:chr m:val="⃗"/>
                </m:accPr>
                <m:e>
                  <m:r>
                    <m:rPr>
                      <m:sty m:val="i"/>
                    </m:rPr>
                    <m:t>e</m:t>
                  </m:r>
                </m:e>
              </m:acc>
            </m:e>
            <m:sub>
              <m:r>
                <m:rPr>
                  <m:sty m:val="i"/>
                </m:rPr>
                <m:t>x</m:t>
              </m:r>
            </m:sub>
          </m:sSub>
        </m:oMath>
      </m:oMathPara>
    </w:p>
    <w:p>
      <w:pPr>
        <w:spacing w:after="220" w:lineRule="auto"/>
      </w:pPr>
      <w:r>
        <w:rPr>
          <w:rFonts w:eastAsia="Georgia" w:cs="Georgia" w:ascii="Georgia" w:hAnsi="Georgia"/>
        </w:rPr>
        <w:t xml:space="preserve">c) La vitesse débitante </w:t>
      </w:r>
      <m:oMath>
        <m:r>
          <m:rPr>
            <m:sty m:val="i"/>
          </m:rPr>
          <m:t>U</m:t>
        </m:r>
      </m:oMath>
      <w:r>
        <w:rPr/>
        <w:t xml:space="preserve"> sur une section droite est la vitesse qui, uniforme sur la section </w:t>
      </w:r>
      <m:oMath>
        <m:r>
          <m:rPr>
            <m:sty m:val="i"/>
          </m:rPr>
          <m:t>S</m:t>
        </m:r>
      </m:oMath>
      <w:r>
        <w:rPr>
          <w:rFonts w:eastAsia="Georgia" w:cs="Georgia" w:ascii="Georgia" w:hAnsi="Georgia"/>
        </w:rPr>
        <w:t xml:space="preserve">, correspond au même débit volumique </w:t>
      </w:r>
      <m:oMath>
        <m:r>
          <m:rPr>
            <m:sty m:val="i"/>
          </m:rPr>
          <m:t>Q</m:t>
        </m:r>
      </m:oMath>
      <w:r>
        <w:rPr/>
        <w:t xml:space="preserve">.</w:t>
      </w:r>
      <w:r>
        <w:rPr/>
        <w:br w:type="textWrapping"/>
      </w:r>
      <w:r>
        <w:rPr/>
        <w:t xml:space="preserve">Exprimer cette vitesse en fonction de </w:t>
      </w:r>
      <m:oMath>
        <m:sSub>
          <m:sSubPr/>
          <m:e>
            <m:r>
              <m:rPr>
                <m:sty m:val="i"/>
              </m:rPr>
              <m:t>v</m:t>
            </m:r>
          </m:e>
          <m:sub>
            <m:r>
              <m:rPr>
                <m:nor/>
              </m:rPr>
              <m:t>max </m:t>
            </m:r>
          </m:sub>
        </m:sSub>
      </m:oMath>
      <w:r>
        <w:rPr>
          <w:rFonts w:eastAsia="Georgia" w:cs="Georgia" w:ascii="Georgia" w:hAnsi="Georgia"/>
        </w:rPr>
        <w:t xml:space="preserve"> et en déduire </w:t>
      </w:r>
      <m:oMath>
        <m:r>
          <m:rPr>
            <m:sty m:val="i"/>
          </m:rPr>
          <m:t>v</m:t>
        </m:r>
        <m:r>
          <m:rPr>
            <m:sty m:val="p"/>
          </m:rPr>
          <m:t>(</m:t>
        </m:r>
        <m:r>
          <m:rPr>
            <m:sty m:val="i"/>
          </m:rPr>
          <m:t>r</m:t>
        </m:r>
        <m:r>
          <m:rPr>
            <m:sty m:val="p"/>
          </m:rPr>
          <m:t>)</m:t>
        </m:r>
      </m:oMath>
      <w:r>
        <w:rPr>
          <w:rFonts w:eastAsia="Georgia" w:cs="Georgia" w:ascii="Georgia" w:hAnsi="Georgia"/>
        </w:rPr>
        <w:t xml:space="preserve"> en fonction du débit volumique </w:t>
      </w:r>
      <m:oMath>
        <m:r>
          <m:rPr>
            <m:sty m:val="i"/>
          </m:rPr>
          <m:t>Q</m:t>
        </m:r>
      </m:oMath>
      <w:r>
        <w:rPr/>
        <w:t xml:space="preserve"> de fluide dans la conduite.</w:t>
      </w:r>
      <w:r>
        <w:rPr/>
        <w:br w:type="textWrapping"/>
      </w:r>
      <w:r>
        <w:rPr>
          <w:rFonts w:eastAsia="Georgia" w:cs="Georgia" w:ascii="Georgia" w:hAnsi="Georgia"/>
        </w:rPr>
        <w:t xml:space="preserve">d) On souhaite un débit d'environ </w:t>
      </w:r>
      <m:oMath>
        <m:r>
          <m:rPr>
            <m:sty m:val="p"/>
          </m:rPr>
          <m:t>30</m:t>
        </m:r>
        <m:r>
          <m:rPr>
            <m:nor/>
          </m:rPr>
          <m:t xml:space="preserve"> </m:t>
        </m:r>
        <m:r>
          <m:rPr>
            <m:sty m:val="p"/>
          </m:rPr>
          <m:t>L</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dans une conduite de diamètre </w:t>
      </w:r>
      <m:oMath>
        <m:r>
          <m:rPr>
            <m:sty m:val="i"/>
          </m:rPr>
          <m:t>D</m:t>
        </m:r>
        <m:r>
          <m:rPr>
            <m:sty m:val="p"/>
          </m:rPr>
          <m:t>=</m:t>
        </m:r>
        <m:r>
          <m:rPr>
            <m:sty m:val="p"/>
          </m:rPr>
          <m:t>20</m:t>
        </m:r>
        <m:r>
          <m:rPr>
            <m:nor/>
          </m:rPr>
          <m:t xml:space="preserve"> </m:t>
        </m:r>
        <m:r>
          <m:rPr>
            <m:sty m:val="p"/>
          </m:rPr>
          <m:t>cm</m:t>
        </m:r>
      </m:oMath>
      <w:r>
        <w:rPr/>
        <w:t xml:space="preserve">. Dans une conduite cylindrique, la transition laminaire turbulente se situe aux alentours de nombres de Reynolds de 2300 (dans l'expression du nombre de Reynolds, on choisira respectivement </w:t>
      </w:r>
      <m:oMath>
        <m:r>
          <m:rPr>
            <m:sty m:val="i"/>
          </m:rPr>
          <m:t>U</m:t>
        </m:r>
      </m:oMath>
      <w:r>
        <w:rPr/>
        <w:t xml:space="preserve"> et </w:t>
      </w:r>
      <m:oMath>
        <m:r>
          <m:rPr>
            <m:sty m:val="i"/>
          </m:rPr>
          <m:t>D</m:t>
        </m:r>
      </m:oMath>
      <w:r>
        <w:rPr>
          <w:rFonts w:eastAsia="Georgia" w:cs="Georgia" w:ascii="Georgia" w:hAnsi="Georgia"/>
        </w:rPr>
        <w:t xml:space="preserve"> comme ordres de grandeur de la vitesse du fluide et de la dimension transversale de l'écoulement).</w:t>
      </w:r>
    </w:p>
    <w:p>
      <w:pPr>
        <w:numPr>
          <w:ilvl w:val="0"/>
          <w:numId w:val="1"/>
        </w:numPr>
        <w:spacing w:lineRule="auto"/>
      </w:pPr>
      <w:r>
        <w:rPr/>
        <w:t xml:space="preserve">Cas d'une huile (SAE-90) pour laquelle </w:t>
      </w:r>
      <m:oMath>
        <m:r>
          <m:rPr>
            <m:sty m:val="i"/>
          </m:rPr>
          <m:t>η</m:t>
        </m:r>
        <m:r>
          <m:rPr>
            <m:sty m:val="p"/>
          </m:rPr>
          <m:t>=</m:t>
        </m:r>
        <m:r>
          <m:rPr>
            <m:sty m:val="p"/>
          </m:rPr>
          <m:t>0</m:t>
        </m:r>
        <m:r>
          <m:rPr>
            <m:sty m:val="p"/>
          </m:rPr>
          <m:t>,</m:t>
        </m:r>
        <m:r>
          <m:rPr>
            <m:sty m:val="p"/>
          </m:rPr>
          <m:t>17</m:t>
        </m:r>
        <m:r>
          <m:rPr>
            <m:nor/>
          </m:rPr>
          <m:t xml:space="preserve"> </m:t>
        </m:r>
        <m:r>
          <m:rPr>
            <m:sty m:val="p"/>
          </m:rPr>
          <m:t>Pa</m:t>
        </m:r>
        <m:r>
          <m:rPr>
            <m:sty m:val="p"/>
          </m:rPr>
          <m:t>⋅</m:t>
        </m:r>
        <m:sSup>
          <m:sSupPr/>
          <m:e>
            <m:r>
              <m:rPr>
                <m:nor/>
              </m:rPr>
              <m:t xml:space="preserve"> </m:t>
            </m:r>
            <m:r>
              <m:rPr>
                <m:sty m:val="p"/>
              </m:rPr>
              <m:t>s</m:t>
            </m:r>
          </m:e>
          <m:sup>
            <m:r>
              <m:rPr>
                <m:sty m:val="p"/>
              </m:rPr>
              <m:t>−</m:t>
            </m:r>
            <m:r>
              <m:rPr>
                <m:sty m:val="p"/>
              </m:rPr>
              <m:t>1</m:t>
            </m:r>
          </m:sup>
        </m:sSup>
      </m:oMath>
      <w:r>
        <w:rPr/>
        <w:t xml:space="preserve"> et </w:t>
      </w:r>
      <m:oMath>
        <m:r>
          <m:rPr>
            <m:sty m:val="i"/>
          </m:rPr>
          <m:t>ρ</m:t>
        </m:r>
        <m:r>
          <m:rPr>
            <m:sty m:val="p"/>
          </m:rPr>
          <m:t>=</m:t>
        </m:r>
        <m:r>
          <m:rPr>
            <m:sty m:val="p"/>
          </m:rPr>
          <m:t>880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1"/>
        </w:numPr>
        <w:spacing w:lineRule="auto"/>
      </w:pPr>
      <w:r>
        <w:rPr>
          <w:rFonts w:eastAsia="Georgia" w:cs="Georgia" w:ascii="Georgia" w:hAnsi="Georgia"/>
        </w:rPr>
        <w:t xml:space="preserve">Calculer la perte de charge linéique et donc la surpression nécessaire pour le transport de cette huile sur un tronçon de 50 m .</w:t>
      </w:r>
    </w:p>
    <w:p>
      <w:pPr>
        <w:numPr>
          <w:ilvl w:val="0"/>
          <w:numId w:val="1"/>
        </w:numPr>
        <w:spacing w:lineRule="auto"/>
      </w:pPr>
      <w:r>
        <w:rPr>
          <w:rFonts w:eastAsia="Georgia" w:cs="Georgia" w:ascii="Georgia" w:hAnsi="Georgia"/>
        </w:rPr>
        <w:t xml:space="preserve">Calculer le nombre de Reynolds de l'écoulement. Conclure.</w:t>
      </w:r>
    </w:p>
    <w:p>
      <w:pPr>
        <w:numPr>
          <w:ilvl w:val="0"/>
          <w:numId w:val="1"/>
        </w:numPr>
        <w:spacing w:lineRule="auto"/>
      </w:pPr>
      <w:r>
        <w:rPr/>
        <w:t xml:space="preserve">Cas de l'eau: </w:t>
      </w:r>
      <m:oMath>
        <m:r>
          <m:rPr>
            <m:sty m:val="i"/>
          </m:rPr>
          <m:t>η</m:t>
        </m:r>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3</m:t>
            </m:r>
          </m:sup>
        </m:sSup>
        <m:r>
          <m:rPr>
            <m:nor/>
          </m:rPr>
          <m:t xml:space="preserve"> </m:t>
        </m:r>
        <m:r>
          <m:rPr>
            <m:sty m:val="p"/>
          </m:rPr>
          <m:t>Pa</m:t>
        </m:r>
        <m:r>
          <m:rPr>
            <m:sty m:val="p"/>
          </m:rPr>
          <m:t>⋅</m:t>
        </m:r>
        <m:sSup>
          <m:sSupPr/>
          <m:e>
            <m:r>
              <m:rPr>
                <m:nor/>
              </m:rPr>
              <m:t xml:space="preserve"> </m:t>
            </m:r>
            <m:r>
              <m:rPr>
                <m:sty m:val="p"/>
              </m:rPr>
              <m:t>s</m:t>
            </m:r>
          </m:e>
          <m:sup>
            <m:r>
              <m:rPr>
                <m:sty m:val="p"/>
              </m:rPr>
              <m:t>−</m:t>
            </m:r>
            <m:r>
              <m:rPr>
                <m:sty m:val="p"/>
              </m:rPr>
              <m:t>1</m:t>
            </m:r>
          </m:sup>
        </m:sSup>
      </m:oMath>
      <w:r>
        <w:rPr/>
        <w:t xml:space="preserve"> et </w:t>
      </w:r>
      <m:oMath>
        <m:r>
          <m:rPr>
            <m:sty m:val="i"/>
          </m:rPr>
          <m:t>ρ</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numPr>
          <w:ilvl w:val="0"/>
          <w:numId w:val="1"/>
        </w:numPr>
        <w:spacing w:lineRule="auto"/>
      </w:pPr>
      <w:r>
        <w:rPr>
          <w:rFonts w:eastAsia="Georgia" w:cs="Georgia" w:ascii="Georgia" w:hAnsi="Georgia"/>
        </w:rPr>
        <w:t xml:space="preserve">Calculer le nombre de Reynolds de l'écoulement. Conclure.</w:t>
      </w:r>
    </w:p>
    <w:p>
      <w:pPr>
        <w:spacing w:line="271" w:before="330" w:lineRule="auto"/>
      </w:pPr>
      <w:r>
        <w:rPr>
          <w:rFonts w:eastAsia="Georgia" w:cs="Georgia" w:ascii="Georgia" w:hAnsi="Georgia"/>
          <w:b/>
          <w:sz w:val="42"/>
        </w:rPr>
        <w:t xml:space="preserve">I.B - Fluide visqueux homogène incompressible en régime turbulent</w:t>
      </w:r>
    </w:p>
    <w:p>
      <w:pPr>
        <w:spacing w:line="271" w:before="330" w:lineRule="auto"/>
      </w:pPr>
      <w:r>
        <w:rPr>
          <w:rFonts w:eastAsia="Georgia" w:cs="Georgia" w:ascii="Georgia" w:hAnsi="Georgia"/>
          <w:b/>
          <w:sz w:val="42"/>
        </w:rPr>
        <w:t xml:space="preserve">I.B.1) Charge moyenne dans une section à symétrie de révolution</w:t>
      </w:r>
    </w:p>
    <w:p>
      <w:pPr>
        <w:spacing w:after="220" w:lineRule="auto"/>
      </w:pPr>
      <w:r>
        <w:rPr/>
        <w:t xml:space="preserve">La charge </w:t>
      </w:r>
      <m:oMath>
        <m:r>
          <m:rPr>
            <m:sty m:val="i"/>
          </m:rPr>
          <m:t>H</m:t>
        </m:r>
      </m:oMath>
      <w:r>
        <w:rPr>
          <w:rFonts w:eastAsia="Georgia" w:cs="Georgia" w:ascii="Georgia" w:hAnsi="Georgia"/>
        </w:rPr>
        <w:t xml:space="preserve">, exprimée en un point </w:t>
      </w:r>
      <m:oMath>
        <m:r>
          <m:rPr>
            <m:sty m:val="i"/>
          </m:rPr>
          <m:t>M</m:t>
        </m:r>
      </m:oMath>
      <w:r>
        <w:rPr>
          <w:rFonts w:eastAsia="Georgia" w:cs="Georgia" w:ascii="Georgia" w:hAnsi="Georgia"/>
        </w:rPr>
        <w:t xml:space="preserve"> de l'écoulement, apparait comme une fonction </w:t>
      </w:r>
      <m:oMath>
        <m:r>
          <m:rPr>
            <m:sty m:val="i"/>
          </m:rPr>
          <m:t>H</m:t>
        </m:r>
        <m:r>
          <m:rPr>
            <m:sty m:val="p"/>
          </m:rPr>
          <m:t>(</m:t>
        </m:r>
        <m:r>
          <m:rPr>
            <m:sty m:val="i"/>
          </m:rPr>
          <m:t>x</m:t>
        </m:r>
        <m:r>
          <m:rPr>
            <m:sty m:val="p"/>
          </m:rPr>
          <m:t>,</m:t>
        </m:r>
        <m:r>
          <m:rPr>
            <m:sty m:val="i"/>
          </m:rPr>
          <m:t>r</m:t>
        </m:r>
        <m:r>
          <m:rPr>
            <m:sty m:val="p"/>
          </m:rPr>
          <m:t>)</m:t>
        </m:r>
      </m:oMath>
      <w:r>
        <w:rPr/>
        <w:t xml:space="preserve"> de </w:t>
      </w:r>
      <m:oMath>
        <m:r>
          <m:rPr>
            <m:sty m:val="i"/>
          </m:rPr>
          <m:t>x</m:t>
        </m:r>
      </m:oMath>
      <w:r>
        <w:rPr/>
        <w:t xml:space="preserve"> et de </w:t>
      </w:r>
      <m:oMath>
        <m:r>
          <m:rPr>
            <m:sty m:val="i"/>
          </m:rPr>
          <m:t>r</m:t>
        </m:r>
      </m:oMath>
      <w:r>
        <w:rPr>
          <w:rFonts w:eastAsia="Georgia" w:cs="Georgia" w:ascii="Georgia" w:hAnsi="Georgia"/>
        </w:rPr>
        <w:t xml:space="preserve">. On définit une charge moyenne </w:t>
      </w:r>
      <m:oMath>
        <m:acc>
          <m:accPr>
            <m:chr m:val="‾"/>
          </m:accPr>
          <m:e>
            <m:r>
              <m:rPr>
                <m:sty m:val="i"/>
              </m:rPr>
              <m:t>H</m:t>
            </m:r>
          </m:e>
        </m:acc>
        <m:r>
          <m:rPr>
            <m:sty m:val="p"/>
          </m:rPr>
          <m:t>(</m:t>
        </m:r>
        <m:r>
          <m:rPr>
            <m:sty m:val="i"/>
          </m:rPr>
          <m:t>x</m:t>
        </m:r>
        <m:r>
          <m:rPr>
            <m:sty m:val="p"/>
          </m:rPr>
          <m:t>)</m:t>
        </m:r>
      </m:oMath>
      <w:r>
        <w:rPr>
          <w:rFonts w:eastAsia="Georgia" w:cs="Georgia" w:ascii="Georgia" w:hAnsi="Georgia"/>
        </w:rPr>
        <w:t xml:space="preserve"> moyennée sur une section de conduite par</w:t>
      </w:r>
    </w:p>
    <w:p>
      <w:pPr>
        <w:spacing w:after="220" w:lineRule="auto"/>
      </w:pPr>
      <m:oMathPara>
        <m:oMath>
          <m:acc>
            <m:accPr>
              <m:chr m:val="‾"/>
            </m:accPr>
            <m:e>
              <m:r>
                <m:rPr>
                  <m:sty m:val="i"/>
                </m:rPr>
                <m:t>H</m:t>
              </m:r>
            </m:e>
          </m:acc>
          <m:r>
            <m:rPr>
              <m:sty m:val="p"/>
            </m:rPr>
            <m:t>(</m:t>
          </m:r>
          <m:r>
            <m:rPr>
              <m:sty m:val="i"/>
            </m:rPr>
            <m:t>x</m:t>
          </m:r>
          <m:r>
            <m:rPr>
              <m:sty m:val="p"/>
            </m:rPr>
            <m:t>)</m:t>
          </m:r>
          <m:r>
            <m:rPr>
              <m:sty m:val="p"/>
            </m:rPr>
            <m:t>=</m:t>
          </m:r>
          <m:nary>
            <m:naryPr>
              <m:chr m:val="∬"/>
              <m:limLoc m:val="subSup"/>
              <m:grow m:val="1"/>
              <m:supHide m:val="1"/>
            </m:naryPr>
            <m:sub>
              <m:r>
                <m:rPr>
                  <m:nor/>
                </m:rPr>
                <m:t>section </m:t>
              </m:r>
            </m:sub>
            <m:sup/>
            <m:e>
              <m:r>
                <m:rPr>
                  <m:sty m:val="p"/>
                </m:rPr>
                <m:t xml:space="preserve"> </m:t>
              </m:r>
            </m:e>
          </m:nary>
          <m:r>
            <m:rPr>
              <m:sty m:val="i"/>
            </m:rPr>
            <m:t>H</m:t>
          </m:r>
          <m:r>
            <m:rPr>
              <m:sty m:val="p"/>
            </m:rPr>
            <m:t>(</m:t>
          </m:r>
          <m:r>
            <m:rPr>
              <m:sty m:val="i"/>
            </m:rPr>
            <m:t>x</m:t>
          </m:r>
          <m:r>
            <m:rPr>
              <m:sty m:val="p"/>
            </m:rPr>
            <m:t>,</m:t>
          </m:r>
          <m:r>
            <m:rPr>
              <m:sty m:val="i"/>
            </m:rPr>
            <m:t>r</m:t>
          </m:r>
          <m:r>
            <m:rPr>
              <m:sty m:val="p"/>
            </m:rPr>
            <m:t>)</m:t>
          </m:r>
          <m:f>
            <m:fPr>
              <m:ctrlPr>
                <w:rPr>
                  <w:rFonts w:ascii="Cambria Math" w:hAnsi="Cambria Math"/>
                </w:rPr>
              </m:ctrlPr>
            </m:fPr>
            <m:num>
              <m:r>
                <m:rPr>
                  <m:sty m:val="p"/>
                </m:rPr>
                <m:t>d</m:t>
              </m:r>
              <m:r>
                <m:rPr>
                  <m:sty m:val="i"/>
                </m:rPr>
                <m:t>Q</m:t>
              </m:r>
            </m:num>
            <m:den>
              <m:r>
                <m:rPr>
                  <m:sty m:val="i"/>
                </m:rPr>
                <m:t>Q</m:t>
              </m:r>
            </m:den>
          </m:f>
        </m:oMath>
      </m:oMathPara>
    </w:p>
    <w:p>
      <w:pPr>
        <w:spacing w:after="220" w:lineRule="auto"/>
      </w:pPr>
      <w:r>
        <w:rPr>
          <w:rFonts w:eastAsia="Georgia" w:cs="Georgia" w:ascii="Georgia" w:hAnsi="Georgia"/>
        </w:rPr>
        <w:t xml:space="preserve">où </w:t>
      </w:r>
      <m:oMath>
        <m:r>
          <m:rPr>
            <m:sty m:val="p"/>
          </m:rPr>
          <m:t>d</m:t>
        </m:r>
        <m:r>
          <m:rPr>
            <m:sty m:val="i"/>
          </m:rPr>
          <m:t>Q</m:t>
        </m:r>
      </m:oMath>
      <w:r>
        <w:rPr>
          <w:rFonts w:eastAsia="Georgia" w:cs="Georgia" w:ascii="Georgia" w:hAnsi="Georgia"/>
        </w:rPr>
        <w:t xml:space="preserve"> est le débit volumique traversant un élément de surface </w:t>
      </w:r>
      <m:oMath>
        <m:r>
          <m:rPr>
            <m:sty m:val="p"/>
          </m:rPr>
          <m:t>d</m:t>
        </m:r>
        <m:r>
          <m:rPr>
            <m:sty m:val="i"/>
          </m:rPr>
          <m:t>S</m:t>
        </m:r>
      </m:oMath>
      <w:r>
        <w:rPr/>
        <w:t xml:space="preserve"> de la section de la conduite et </w:t>
      </w:r>
      <m:oMath>
        <m:r>
          <m:rPr>
            <m:sty m:val="i"/>
          </m:rPr>
          <m:t>Q</m:t>
        </m:r>
      </m:oMath>
      <w:r>
        <w:rPr>
          <w:rFonts w:eastAsia="Georgia" w:cs="Georgia" w:ascii="Georgia" w:hAnsi="Georgia"/>
        </w:rPr>
        <w:t xml:space="preserve"> le débit volumique total de la conduite.</w:t>
      </w:r>
      <w:r>
        <w:rPr/>
        <w:br w:type="textWrapping"/>
      </w:r>
      <w:r>
        <w:rPr>
          <w:rFonts w:eastAsia="Georgia" w:cs="Georgia" w:ascii="Georgia" w:hAnsi="Georgia"/>
        </w:rPr>
        <w:t xml:space="preserve">Pour exprimer le terme cinétique de la charge en fonction de la vitesse débitante </w:t>
      </w:r>
      <m:oMath>
        <m:r>
          <m:rPr>
            <m:sty m:val="i"/>
          </m:rPr>
          <m:t>U</m:t>
        </m:r>
      </m:oMath>
      <w:r>
        <w:rPr/>
        <w:t xml:space="preserve">, on introduit le coefficient de Coriolis : </w:t>
      </w:r>
      <m:oMath>
        <m:r>
          <m:rPr>
            <m:sty m:val="i"/>
          </m:rPr>
          <m:t>α</m:t>
        </m:r>
        <m:r>
          <m:rPr>
            <m:sty m:val="p"/>
          </m:rPr>
          <m:t>=</m:t>
        </m:r>
        <m:f>
          <m:fPr>
            <m:ctrlPr>
              <w:rPr>
                <w:rFonts w:ascii="Cambria Math" w:hAnsi="Cambria Math"/>
              </w:rPr>
            </m:ctrlPr>
          </m:fPr>
          <m:num>
            <m:sSub>
              <m:sSubPr/>
              <m:e>
                <m:r>
                  <m:rPr>
                    <m:sty m:val="i"/>
                  </m:rPr>
                  <m:t>P</m:t>
                </m:r>
              </m:e>
              <m:sub>
                <m:r>
                  <m:rPr>
                    <m:sty m:val="i"/>
                  </m:rPr>
                  <m:t>c</m:t>
                </m:r>
                <m:r>
                  <m:rPr>
                    <m:nor/>
                  </m:rPr>
                  <m:t> réelle </m:t>
                </m:r>
              </m:sub>
            </m:sSub>
          </m:num>
          <m:den>
            <m:sSub>
              <m:sSubPr/>
              <m:e>
                <m:r>
                  <m:rPr>
                    <m:sty m:val="i"/>
                  </m:rPr>
                  <m:t>P</m:t>
                </m:r>
              </m:e>
              <m:sub>
                <m:r>
                  <m:rPr>
                    <m:sty m:val="i"/>
                  </m:rPr>
                  <m:t>c</m:t>
                </m:r>
                <m:r>
                  <m:rPr>
                    <m:nor/>
                  </m:rPr>
                  <m:t> uniforme </m:t>
                </m:r>
              </m:sub>
            </m:sSub>
          </m:den>
        </m:f>
      </m:oMath>
      <w:r>
        <w:rPr>
          <w:rFonts w:eastAsia="Georgia" w:cs="Georgia" w:ascii="Georgia" w:hAnsi="Georgia"/>
        </w:rPr>
        <w:t xml:space="preserve">, où </w:t>
      </w:r>
      <m:oMath>
        <m:sSub>
          <m:sSubPr/>
          <m:e>
            <m:r>
              <m:rPr>
                <m:sty m:val="i"/>
              </m:rPr>
              <m:t>P</m:t>
            </m:r>
          </m:e>
          <m:sub>
            <m:r>
              <m:rPr>
                <m:sty m:val="i"/>
              </m:rPr>
              <m:t>c</m:t>
            </m:r>
            <m:r>
              <m:rPr>
                <m:nor/>
              </m:rPr>
              <m:t> réelle </m:t>
            </m:r>
          </m:sub>
        </m:sSub>
      </m:oMath>
      <w:r>
        <w:rPr>
          <w:rFonts w:eastAsia="Georgia" w:cs="Georgia" w:ascii="Georgia" w:hAnsi="Georgia"/>
        </w:rPr>
        <w:t xml:space="preserve"> est la puissance cinétique traversant la section </w:t>
      </w:r>
      <m:oMath>
        <m:r>
          <m:rPr>
            <m:sty m:val="i"/>
          </m:rPr>
          <m:t>S</m:t>
        </m:r>
      </m:oMath>
      <w:r>
        <w:rPr/>
        <w:t xml:space="preserve"> de conduite et </w:t>
      </w:r>
      <m:oMath>
        <m:sSub>
          <m:sSubPr/>
          <m:e>
            <m:r>
              <m:rPr>
                <m:sty m:val="i"/>
              </m:rPr>
              <m:t>P</m:t>
            </m:r>
          </m:e>
          <m:sub>
            <m:r>
              <m:rPr>
                <m:sty m:val="i"/>
              </m:rPr>
              <m:t>c</m:t>
            </m:r>
            <m:r>
              <m:rPr>
                <m:nor/>
              </m:rPr>
              <m:t> uniforme </m:t>
            </m:r>
          </m:sub>
        </m:sSub>
      </m:oMath>
      <w:r>
        <w:rPr>
          <w:rFonts w:eastAsia="Georgia" w:cs="Georgia" w:ascii="Georgia" w:hAnsi="Georgia"/>
        </w:rPr>
        <w:t xml:space="preserve"> la puissance cinétique qui traverserait cette section pour une vitesse uniforme </w:t>
      </w:r>
      <m:oMath>
        <m:r>
          <m:rPr>
            <m:sty m:val="i"/>
          </m:rPr>
          <m:t>U</m:t>
        </m:r>
      </m:oMath>
      <w:r>
        <w:rPr/>
        <w:t xml:space="preserve"> (chaque particule de fluide traverse la section </w:t>
      </w:r>
      <m:oMath>
        <m:r>
          <m:rPr>
            <m:sty m:val="i"/>
          </m:rPr>
          <m:t>S</m:t>
        </m:r>
      </m:oMath>
      <w:r>
        <w:rPr>
          <w:rFonts w:eastAsia="Georgia" w:cs="Georgia" w:ascii="Georgia" w:hAnsi="Georgia"/>
        </w:rPr>
        <w:t xml:space="preserve"> à la vitesse </w:t>
      </w:r>
      <m:oMath>
        <m:r>
          <m:rPr>
            <m:sty m:val="i"/>
          </m:rPr>
          <m:t>v</m:t>
        </m:r>
        <m:r>
          <m:rPr>
            <m:sty m:val="p"/>
          </m:rPr>
          <m:t>(</m:t>
        </m:r>
        <m:r>
          <m:rPr>
            <m:sty m:val="i"/>
          </m:rPr>
          <m:t>r</m:t>
        </m:r>
        <m:r>
          <m:rPr>
            <m:sty m:val="p"/>
          </m:rPr>
          <m:t>)</m:t>
        </m:r>
      </m:oMath>
      <w:r>
        <w:rPr>
          <w:rFonts w:eastAsia="Georgia" w:cs="Georgia" w:ascii="Georgia" w:hAnsi="Georgia"/>
        </w:rPr>
        <w:t xml:space="preserve">, emportant avec elle son énergie cinétique volumique locale </w:t>
      </w:r>
      <m:oMath>
        <m:d>
          <m:dPr>
            <m:begChr m:val=""/>
            <m:endChr m:val=")"/>
            <m:ctrlPr>
              <w:rPr>
                <w:rFonts w:ascii="Cambria Math" w:hAnsi="Cambria Math"/>
              </w:rPr>
            </m:ctrlPr>
          </m:dPr>
          <m:e>
            <m:f>
              <m:fPr>
                <m:ctrlPr>
                  <w:rPr>
                    <w:rFonts w:ascii="Cambria Math" w:hAnsi="Cambria Math"/>
                  </w:rPr>
                </m:ctrlPr>
              </m:fPr>
              <m:num>
                <m:r>
                  <m:rPr>
                    <m:sty m:val="p"/>
                  </m:rPr>
                  <m:t>1</m:t>
                </m:r>
              </m:num>
              <m:den>
                <m:r>
                  <m:rPr>
                    <m:sty m:val="p"/>
                  </m:rPr>
                  <m:t>2</m:t>
                </m:r>
              </m:den>
            </m:f>
            <m:r>
              <m:rPr>
                <m:sty m:val="i"/>
              </m:rPr>
              <m:t>ρ</m:t>
            </m:r>
            <m:sSup>
              <m:sSupPr/>
              <m:e>
                <m:r>
                  <m:rPr>
                    <m:sty m:val="i"/>
                  </m:rPr>
                  <m:t>v</m:t>
                </m:r>
              </m:e>
              <m:sup>
                <m:r>
                  <m:rPr>
                    <m:sty m:val="p"/>
                  </m:rPr>
                  <m:t>2</m:t>
                </m:r>
              </m:sup>
            </m:sSup>
            <m:r>
              <m:rPr>
                <m:sty m:val="p"/>
              </m:rPr>
              <m:t>(</m:t>
            </m:r>
            <m:r>
              <m:rPr>
                <m:sty m:val="i"/>
              </m:rPr>
              <m:t>r</m:t>
            </m:r>
            <m:r>
              <m:rPr>
                <m:sty m:val="p"/>
              </m:rPr>
              <m:t>)</m:t>
            </m:r>
          </m:e>
        </m:d>
      </m:oMath>
      <w:r>
        <w:rPr/>
        <w:t xml:space="preserve">.</w:t>
      </w:r>
      <w:r>
        <w:rPr/>
        <w:br w:type="textWrapping"/>
      </w:r>
      <w:r>
        <w:rPr/>
        <w:t xml:space="preserve">a) Montrer que </w:t>
      </w:r>
      <m:oMath>
        <m:r>
          <m:rPr>
            <m:sty m:val="i"/>
          </m:rPr>
          <m:t>α</m:t>
        </m:r>
        <m:r>
          <m:rPr>
            <m:sty m:val="p"/>
          </m:rPr>
          <m:t>=</m:t>
        </m:r>
        <m:f>
          <m:fPr>
            <m:ctrlPr>
              <w:rPr>
                <w:rFonts w:ascii="Cambria Math" w:hAnsi="Cambria Math"/>
              </w:rPr>
            </m:ctrlPr>
          </m:fPr>
          <m:num>
            <m:r>
              <m:rPr>
                <m:sty m:val="p"/>
              </m:rPr>
              <m:t>1</m:t>
            </m:r>
          </m:num>
          <m:den>
            <m:sSup>
              <m:sSupPr/>
              <m:e>
                <m:r>
                  <m:rPr>
                    <m:sty m:val="i"/>
                  </m:rPr>
                  <m:t>U</m:t>
                </m:r>
              </m:e>
              <m:sup>
                <m:r>
                  <m:rPr>
                    <m:sty m:val="p"/>
                  </m:rPr>
                  <m:t>3</m:t>
                </m:r>
              </m:sup>
            </m:sSup>
            <m:r>
              <m:rPr>
                <m:sty m:val="i"/>
              </m:rPr>
              <m:t>S</m:t>
            </m:r>
          </m:den>
        </m:f>
        <m:nary>
          <m:naryPr>
            <m:chr m:val="∬"/>
            <m:limLoc m:val="subSup"/>
            <m:grow m:val="1"/>
            <m:supHide m:val="1"/>
          </m:naryPr>
          <m:sub>
            <m:r>
              <m:rPr>
                <m:nor/>
              </m:rPr>
              <m:t>section </m:t>
            </m:r>
          </m:sub>
          <m:sup/>
          <m:e>
            <m:r>
              <m:rPr>
                <m:sty m:val="p"/>
              </m:rPr>
              <m:t xml:space="preserve"> </m:t>
            </m:r>
          </m:e>
        </m:nary>
        <m:sSup>
          <m:sSupPr/>
          <m:e>
            <m:r>
              <m:rPr>
                <m:sty m:val="i"/>
              </m:rPr>
              <m:t>v</m:t>
            </m:r>
          </m:e>
          <m:sup>
            <m:r>
              <m:rPr>
                <m:sty m:val="p"/>
              </m:rPr>
              <m:t>3</m:t>
            </m:r>
          </m:sup>
        </m:sSup>
        <m:r>
          <m:rPr>
            <m:sty m:val="p"/>
          </m:rPr>
          <m:t>(</m:t>
        </m:r>
        <m:r>
          <m:rPr>
            <m:sty m:val="i"/>
          </m:rPr>
          <m:t>r</m:t>
        </m:r>
        <m:r>
          <m:rPr>
            <m:sty m:val="p"/>
          </m:rPr>
          <m:t>)</m:t>
        </m:r>
        <m:r>
          <m:rPr>
            <m:sty m:val="p"/>
          </m:rPr>
          <m:t>d</m:t>
        </m:r>
        <m:r>
          <m:rPr>
            <m:sty m:val="i"/>
          </m:rPr>
          <m:t>S</m:t>
        </m:r>
      </m:oMath>
      <w:r>
        <w:rPr/>
        <w:t xml:space="preserve">.</w:t>
      </w:r>
      <w:r>
        <w:rPr/>
        <w:br w:type="textWrapping"/>
      </w:r>
      <w:r>
        <w:rPr>
          <w:rFonts w:eastAsia="Georgia" w:cs="Georgia" w:ascii="Georgia" w:hAnsi="Georgia"/>
        </w:rPr>
        <w:t xml:space="preserve">b) En déduire que la charge moyenne sur une section de l'écoulement (laminaire ou turbulent) s'écrit</w:t>
      </w:r>
    </w:p>
    <w:p>
      <w:pPr>
        <w:spacing w:after="220" w:lineRule="auto"/>
      </w:pPr>
      <m:oMathPara>
        <m:oMath>
          <m:acc>
            <m:accPr>
              <m:chr m:val="‾"/>
            </m:accPr>
            <m:e>
              <m:r>
                <m:rPr>
                  <m:sty m:val="i"/>
                </m:rPr>
                <m:t>H</m:t>
              </m:r>
            </m:e>
          </m:acc>
          <m:r>
            <m:rPr>
              <m:sty m:val="p"/>
            </m:rPr>
            <m:t>=</m:t>
          </m:r>
          <m:r>
            <m:rPr>
              <m:sty m:val="i"/>
            </m:rPr>
            <m:t>z</m:t>
          </m:r>
          <m:r>
            <m:rPr>
              <m:sty m:val="p"/>
            </m:rPr>
            <m:t>+</m:t>
          </m:r>
          <m:f>
            <m:fPr>
              <m:ctrlPr>
                <w:rPr>
                  <w:rFonts w:ascii="Cambria Math" w:hAnsi="Cambria Math"/>
                </w:rPr>
              </m:ctrlPr>
            </m:fPr>
            <m:num>
              <m:r>
                <m:rPr>
                  <m:sty m:val="i"/>
                </m:rPr>
                <m:t>p</m:t>
              </m:r>
            </m:num>
            <m:den>
              <m:r>
                <m:rPr>
                  <m:sty m:val="i"/>
                </m:rPr>
                <m:t>ρ</m:t>
              </m:r>
              <m:r>
                <m:rPr>
                  <m:sty m:val="i"/>
                </m:rPr>
                <m:t>g</m:t>
              </m:r>
            </m:den>
          </m:f>
          <m:r>
            <m:rPr>
              <m:sty m:val="p"/>
            </m:rPr>
            <m:t>+</m:t>
          </m:r>
          <m:r>
            <m:rPr>
              <m:sty m:val="i"/>
            </m:rPr>
            <m:t>α</m:t>
          </m:r>
          <m:f>
            <m:fPr>
              <m:ctrlPr>
                <w:rPr>
                  <w:rFonts w:ascii="Cambria Math" w:hAnsi="Cambria Math"/>
                </w:rPr>
              </m:ctrlPr>
            </m:fPr>
            <m:num>
              <m:sSup>
                <m:sSupPr/>
                <m:e>
                  <m:r>
                    <m:rPr>
                      <m:sty m:val="i"/>
                    </m:rPr>
                    <m:t>U</m:t>
                  </m:r>
                </m:e>
                <m:sup>
                  <m:r>
                    <m:rPr>
                      <m:sty m:val="p"/>
                    </m:rPr>
                    <m:t>2</m:t>
                  </m:r>
                </m:sup>
              </m:sSup>
            </m:num>
            <m:den>
              <m:r>
                <m:rPr>
                  <m:sty m:val="p"/>
                </m:rPr>
                <m:t>2</m:t>
              </m:r>
              <m:r>
                <m:rPr>
                  <m:sty m:val="i"/>
                </m:rPr>
                <m:t>g</m:t>
              </m:r>
            </m:den>
          </m:f>
        </m:oMath>
      </m:oMathPara>
    </w:p>
    <w:p>
      <w:pPr>
        <w:spacing w:after="220" w:lineRule="auto"/>
      </w:pPr>
      <w:r>
        <w:rPr>
          <w:rFonts w:eastAsia="Georgia" w:cs="Georgia" w:ascii="Georgia" w:hAnsi="Georgia"/>
        </w:rPr>
        <w:t xml:space="preserve">c) Calculer numériquement le coefficient de Coriolis pour l'écoulement uniforme et pour l'écoulement laminaire de Poiseuille.</w:t>
      </w:r>
      <w:r>
        <w:rPr/>
        <w:br w:type="textWrapping"/>
      </w:r>
      <w:r>
        <w:rPr>
          <w:rFonts w:eastAsia="Georgia" w:cs="Georgia" w:ascii="Georgia" w:hAnsi="Georgia"/>
        </w:rPr>
        <w:t xml:space="preserve">d) Dans le cas de régimes turbulents courants, les valeurs du coefficient oscillent entre 1,05 et 1,20 . Commenter.</w:t>
      </w:r>
    </w:p>
    <w:p>
      <w:pPr>
        <w:spacing w:line="271" w:before="330" w:lineRule="auto"/>
      </w:pPr>
      <w:r>
        <w:rPr>
          <w:rFonts w:eastAsia="Georgia" w:cs="Georgia" w:ascii="Georgia" w:hAnsi="Georgia"/>
          <w:b/>
          <w:sz w:val="42"/>
        </w:rPr>
        <w:t xml:space="preserve">I.B.2) Rugosité, diagramme de Moody</w:t>
      </w:r>
    </w:p>
    <w:p>
      <w:pPr>
        <w:spacing w:after="220" w:lineRule="auto"/>
      </w:pPr>
      <w:r>
        <w:rPr>
          <w:rFonts w:eastAsia="Georgia" w:cs="Georgia" w:ascii="Georgia" w:hAnsi="Georgia"/>
        </w:rPr>
        <w:t xml:space="preserve">La perte de charge régulière moyenne, pour un écoulement incompressible dans une conduite circulaire rectiligne de longueur </w:t>
      </w:r>
      <m:oMath>
        <m:r>
          <m:rPr>
            <m:sty m:val="i"/>
          </m:rPr>
          <m:t>L</m:t>
        </m:r>
      </m:oMath>
      <w:r>
        <w:rPr>
          <w:rFonts w:eastAsia="Georgia" w:cs="Georgia" w:ascii="Georgia" w:hAnsi="Georgia"/>
        </w:rPr>
        <w:t xml:space="preserve"> et de diamètre </w:t>
      </w:r>
      <m:oMath>
        <m:r>
          <m:rPr>
            <m:sty m:val="i"/>
          </m:rPr>
          <m:t>D</m:t>
        </m:r>
      </m:oMath>
      <w:r>
        <w:rPr>
          <w:rFonts w:eastAsia="Georgia" w:cs="Georgia" w:ascii="Georgia" w:hAnsi="Georgia"/>
        </w:rPr>
        <w:t xml:space="preserve">, est donnée par</w:t>
      </w:r>
    </w:p>
    <w:p>
      <w:pPr>
        <w:spacing w:after="220" w:lineRule="auto"/>
      </w:pPr>
      <m:oMathPara>
        <m:oMath>
          <m:r>
            <m:rPr>
              <m:sty m:val="p"/>
            </m:rPr>
            <m:t>Δ</m:t>
          </m:r>
          <m:sSub>
            <m:sSubPr/>
            <m:e>
              <m:acc>
                <m:accPr>
                  <m:chr m:val="‾"/>
                </m:accPr>
                <m:e>
                  <m:r>
                    <m:rPr>
                      <m:sty m:val="i"/>
                    </m:rPr>
                    <m:t>H</m:t>
                  </m:r>
                </m:e>
              </m:acc>
            </m:e>
            <m:sub>
              <m:r>
                <m:rPr>
                  <m:sty m:val="i"/>
                </m:rPr>
                <m:t>l</m:t>
              </m:r>
            </m:sub>
          </m:sSub>
          <m:r>
            <m:rPr>
              <m:sty m:val="p"/>
            </m:rPr>
            <m:t>=</m:t>
          </m:r>
          <m:r>
            <m:rPr>
              <m:sty m:val="i"/>
            </m:rPr>
            <m:t>f</m:t>
          </m:r>
          <m:d>
            <m:dPr>
              <m:begChr m:val="("/>
              <m:endChr m:val=")"/>
              <m:ctrlPr>
                <w:rPr>
                  <w:rFonts w:ascii="Cambria Math" w:hAnsi="Cambria Math"/>
                </w:rPr>
              </m:ctrlPr>
            </m:dPr>
            <m:e>
              <m:sSub>
                <m:sSubPr/>
                <m:e>
                  <m:r>
                    <m:rPr>
                      <m:sty m:val="i"/>
                    </m:rPr>
                    <m:t>R</m:t>
                  </m:r>
                </m:e>
                <m:sub>
                  <m:r>
                    <m:rPr>
                      <m:sty m:val="i"/>
                    </m:rPr>
                    <m:t>e</m:t>
                  </m:r>
                </m:sub>
              </m:sSub>
              <m:r>
                <m:rPr>
                  <m:sty m:val="p"/>
                </m:rPr>
                <m:t>,</m:t>
              </m:r>
              <m:f>
                <m:fPr>
                  <m:ctrlPr>
                    <w:rPr>
                      <w:rFonts w:ascii="Cambria Math" w:hAnsi="Cambria Math"/>
                    </w:rPr>
                  </m:ctrlPr>
                </m:fPr>
                <m:num>
                  <m:r>
                    <m:rPr>
                      <m:sty m:val="i"/>
                    </m:rPr>
                    <m:t>ε</m:t>
                  </m:r>
                </m:num>
                <m:den>
                  <m:r>
                    <m:rPr>
                      <m:sty m:val="i"/>
                    </m:rPr>
                    <m:t>D</m:t>
                  </m:r>
                </m:den>
              </m:f>
            </m:e>
          </m:d>
          <m:f>
            <m:fPr>
              <m:ctrlPr>
                <w:rPr>
                  <w:rFonts w:ascii="Cambria Math" w:hAnsi="Cambria Math"/>
                </w:rPr>
              </m:ctrlPr>
            </m:fPr>
            <m:num>
              <m:r>
                <m:rPr>
                  <m:sty m:val="i"/>
                </m:rPr>
                <m:t>L</m:t>
              </m:r>
            </m:num>
            <m:den>
              <m:r>
                <m:rPr>
                  <m:sty m:val="i"/>
                </m:rPr>
                <m:t>D</m:t>
              </m:r>
            </m:den>
          </m:f>
          <m:f>
            <m:fPr>
              <m:ctrlPr>
                <w:rPr>
                  <w:rFonts w:ascii="Cambria Math" w:hAnsi="Cambria Math"/>
                </w:rPr>
              </m:ctrlPr>
            </m:fPr>
            <m:num>
              <m:sSup>
                <m:sSupPr/>
                <m:e>
                  <m:r>
                    <m:rPr>
                      <m:sty m:val="i"/>
                    </m:rPr>
                    <m:t>U</m:t>
                  </m:r>
                </m:e>
                <m:sup>
                  <m:r>
                    <m:rPr>
                      <m:sty m:val="p"/>
                    </m:rPr>
                    <m:t>2</m:t>
                  </m:r>
                </m:sup>
              </m:sSup>
            </m:num>
            <m:den>
              <m:r>
                <m:rPr>
                  <m:sty m:val="p"/>
                </m:rPr>
                <m:t>2</m:t>
              </m:r>
              <m:r>
                <m:rPr>
                  <m:sty m:val="i"/>
                </m:rPr>
                <m:t>g</m:t>
              </m:r>
            </m:den>
          </m:f>
        </m:oMath>
      </m:oMathPara>
    </w:p>
    <w:p>
      <w:pPr>
        <w:spacing w:after="220" w:lineRule="auto"/>
      </w:pPr>
      <w:r>
        <w:rPr>
          <w:rFonts w:eastAsia="Georgia" w:cs="Georgia" w:ascii="Georgia" w:hAnsi="Georgia"/>
        </w:rPr>
        <w:t xml:space="preserve">définissant ainsi le coefficient de perte de charge </w:t>
      </w:r>
      <m:oMath>
        <m:r>
          <m:rPr>
            <m:sty m:val="i"/>
          </m:rPr>
          <m:t>f</m:t>
        </m:r>
        <m:d>
          <m:dPr>
            <m:begChr m:val="("/>
            <m:endChr m:val=")"/>
            <m:ctrlPr>
              <w:rPr>
                <w:rFonts w:ascii="Cambria Math" w:hAnsi="Cambria Math"/>
              </w:rPr>
            </m:ctrlPr>
          </m:dPr>
          <m:e>
            <m:sSub>
              <m:sSubPr/>
              <m:e>
                <m:r>
                  <m:rPr>
                    <m:sty m:val="i"/>
                  </m:rPr>
                  <m:t>R</m:t>
                </m:r>
              </m:e>
              <m:sub>
                <m:r>
                  <m:rPr>
                    <m:sty m:val="i"/>
                  </m:rPr>
                  <m:t>e</m:t>
                </m:r>
              </m:sub>
            </m:sSub>
            <m:r>
              <m:rPr>
                <m:sty m:val="p"/>
              </m:rPr>
              <m:t>,</m:t>
            </m:r>
            <m:r>
              <m:rPr>
                <m:sty m:val="i"/>
              </m:rPr>
              <m:t>ε</m:t>
            </m:r>
            <m:r>
              <m:rPr>
                <m:sty m:val="p"/>
              </m:rPr>
              <m:t>/</m:t>
            </m:r>
            <m:r>
              <m:rPr>
                <m:sty m:val="i"/>
              </m:rPr>
              <m:t>D</m:t>
            </m:r>
          </m:e>
        </m:d>
      </m:oMath>
      <w:r>
        <w:rPr>
          <w:rFonts w:eastAsia="Georgia" w:cs="Georgia" w:ascii="Georgia" w:hAnsi="Georgia"/>
        </w:rPr>
        <w:t xml:space="preserve"> qui dépend du nombre de Reynolds </w:t>
      </w:r>
      <m:oMath>
        <m:sSub>
          <m:sSubPr/>
          <m:e>
            <m:r>
              <m:rPr>
                <m:sty m:val="i"/>
              </m:rPr>
              <m:t>R</m:t>
            </m:r>
          </m:e>
          <m:sub>
            <m:r>
              <m:rPr>
                <m:sty m:val="i"/>
              </m:rPr>
              <m:t>e</m:t>
            </m:r>
          </m:sub>
        </m:sSub>
      </m:oMath>
      <w:r>
        <w:rPr>
          <w:rFonts w:eastAsia="Georgia" w:cs="Georgia" w:ascii="Georgia" w:hAnsi="Georgia"/>
        </w:rPr>
        <w:t xml:space="preserve">, et par conséquent du régime d'écoulement, et de la rugosité relative </w:t>
      </w:r>
      <m:oMath>
        <m:r>
          <m:rPr>
            <m:sty m:val="i"/>
          </m:rPr>
          <m:t>ε</m:t>
        </m:r>
        <m:r>
          <m:rPr>
            <m:sty m:val="p"/>
          </m:rPr>
          <m:t>/</m:t>
        </m:r>
        <m:r>
          <m:rPr>
            <m:sty m:val="i"/>
          </m:rPr>
          <m:t>D</m:t>
        </m:r>
      </m:oMath>
      <w:r>
        <w:rPr>
          <w:rFonts w:eastAsia="Georgia" w:cs="Georgia" w:ascii="Georgia" w:hAnsi="Georgia"/>
        </w:rPr>
        <w:t xml:space="preserve"> de la conduite. La valeur numérique de ce coefficient est donnée par le diagramme de Moody (figure 7), en fonction du nombre de Reynolds, pour différentes valeurs de la rugosité relative </w:t>
      </w:r>
      <m:oMath>
        <m:r>
          <m:rPr>
            <m:sty m:val="i"/>
          </m:rPr>
          <m:t>ε</m:t>
        </m:r>
        <m:r>
          <m:rPr>
            <m:sty m:val="p"/>
          </m:rPr>
          <m:t>/</m:t>
        </m:r>
        <m:r>
          <m:rPr>
            <m:sty m:val="i"/>
          </m:rPr>
          <m:t>D</m:t>
        </m:r>
      </m:oMath>
      <w:r>
        <w:rPr>
          <w:rFonts w:eastAsia="Georgia" w:cs="Georgia" w:ascii="Georgia" w:hAnsi="Georgia"/>
        </w:rPr>
        <w:t xml:space="preserve"> (lue à droite du graphe).</w:t>
      </w:r>
      <w:r>
        <w:rPr/>
        <w:br w:type="textWrapping"/>
      </w:r>
      <w:r>
        <w:rPr>
          <w:rFonts w:eastAsia="Georgia" w:cs="Georgia" w:ascii="Georgia" w:hAnsi="Georgia"/>
        </w:rPr>
        <w:t xml:space="preserve">La rugosité absolue </w:t>
      </w:r>
      <m:oMath>
        <m:r>
          <m:rPr>
            <m:sty m:val="i"/>
          </m:rPr>
          <m:t>ε</m:t>
        </m:r>
      </m:oMath>
      <w:r>
        <w:rPr>
          <w:rFonts w:eastAsia="Georgia" w:cs="Georgia" w:ascii="Georgia" w:hAnsi="Georgia"/>
        </w:rPr>
        <w:t xml:space="preserve"> a la dimension d'une hauteur sans toutefois représenter une hauteur moyenne des aspérités de la surface intérieure de la conduite: par exemple, pour des conduites métalliques rivetées, le revêtement a peu d'importance devant le nombre et l'écartement des files longitudinales et transversales de rivets.</w:t>
      </w:r>
      <w:r>
        <w:rPr/>
        <w:br w:type="textWrapping"/>
      </w:r>
      <w:r>
        <w:rPr>
          <w:rFonts w:eastAsia="Georgia" w:cs="Georgia" w:ascii="Georgia" w:hAnsi="Georgia"/>
        </w:rPr>
        <w:t xml:space="preserve">a) Montrer que l'écoulement de Poiseuille conduit à </w:t>
      </w:r>
      <m:oMath>
        <m:r>
          <m:rPr>
            <m:sty m:val="i"/>
          </m:rPr>
          <m:t>f</m:t>
        </m:r>
        <m:d>
          <m:dPr>
            <m:begChr m:val="("/>
            <m:endChr m:val=")"/>
            <m:ctrlPr>
              <w:rPr>
                <w:rFonts w:ascii="Cambria Math" w:hAnsi="Cambria Math"/>
              </w:rPr>
            </m:ctrlPr>
          </m:dPr>
          <m:e>
            <m:sSub>
              <m:sSubPr/>
              <m:e>
                <m:r>
                  <m:rPr>
                    <m:sty m:val="i"/>
                  </m:rPr>
                  <m:t>R</m:t>
                </m:r>
              </m:e>
              <m:sub>
                <m:r>
                  <m:rPr>
                    <m:sty m:val="i"/>
                  </m:rPr>
                  <m:t>e</m:t>
                </m:r>
              </m:sub>
            </m:sSub>
            <m:r>
              <m:rPr>
                <m:sty m:val="p"/>
              </m:rPr>
              <m:t>,</m:t>
            </m:r>
            <m:f>
              <m:fPr>
                <m:ctrlPr>
                  <w:rPr>
                    <w:rFonts w:ascii="Cambria Math" w:hAnsi="Cambria Math"/>
                  </w:rPr>
                </m:ctrlPr>
              </m:fPr>
              <m:num>
                <m:r>
                  <m:rPr>
                    <m:sty m:val="i"/>
                  </m:rPr>
                  <m:t>ε</m:t>
                </m:r>
              </m:num>
              <m:den>
                <m:r>
                  <m:rPr>
                    <m:sty m:val="i"/>
                  </m:rPr>
                  <m:t>D</m:t>
                </m:r>
              </m:den>
            </m:f>
          </m:e>
        </m:d>
        <m:r>
          <m:rPr>
            <m:sty m:val="p"/>
          </m:rPr>
          <m:t>=</m:t>
        </m:r>
        <m:f>
          <m:fPr>
            <m:ctrlPr>
              <w:rPr>
                <w:rFonts w:ascii="Cambria Math" w:hAnsi="Cambria Math"/>
              </w:rPr>
            </m:ctrlPr>
          </m:fPr>
          <m:num>
            <m:r>
              <m:rPr>
                <m:sty m:val="p"/>
              </m:rPr>
              <m:t>64</m:t>
            </m:r>
          </m:num>
          <m:den>
            <m:sSub>
              <m:sSubPr/>
              <m:e>
                <m:r>
                  <m:rPr>
                    <m:sty m:val="i"/>
                  </m:rPr>
                  <m:t>R</m:t>
                </m:r>
              </m:e>
              <m:sub>
                <m:r>
                  <m:rPr>
                    <m:sty m:val="i"/>
                  </m:rPr>
                  <m:t>e</m:t>
                </m:r>
              </m:sub>
            </m:sSub>
          </m:den>
        </m:f>
      </m:oMath>
      <w:r>
        <w:rPr/>
        <w:t xml:space="preserve">.</w:t>
      </w:r>
    </w:p>
    <w:p>
      <w:pPr>
        <w:spacing w:after="220" w:lineRule="auto"/>
      </w:pPr>
      <w:r>
        <w:rPr>
          <w:rFonts w:eastAsia="Georgia" w:cs="Georgia" w:ascii="Georgia" w:hAnsi="Georgia"/>
        </w:rPr>
        <w:t xml:space="preserve">Interpréter le fait que le coefficient de perte de charge ainsi obtenu ne dépend pas de la rugosité.</w:t>
      </w:r>
      <w:r>
        <w:rPr/>
        <w:br w:type="textWrapping"/>
      </w:r>
      <w:r>
        <w:rPr>
          <w:rFonts w:eastAsia="Georgia" w:cs="Georgia" w:ascii="Georgia" w:hAnsi="Georgia"/>
        </w:rPr>
        <w:t xml:space="preserve">b) Pour relier la station de pompage au château d'eau, on installe une conduite en fonte de diamètre </w:t>
      </w:r>
      <m:oMath>
        <m:r>
          <m:rPr>
            <m:sty m:val="i"/>
          </m:rPr>
          <m:t>D</m:t>
        </m:r>
        <m:r>
          <m:rPr>
            <m:sty m:val="p"/>
          </m:rPr>
          <m:t>=</m:t>
        </m:r>
        <m:r>
          <m:rPr>
            <m:sty m:val="p"/>
          </m:rPr>
          <m:t>20</m:t>
        </m:r>
        <m:r>
          <m:rPr>
            <m:nor/>
          </m:rPr>
          <m:t xml:space="preserve"> </m:t>
        </m:r>
        <m:r>
          <m:rPr>
            <m:sty m:val="p"/>
          </m:rPr>
          <m:t>cm</m:t>
        </m:r>
      </m:oMath>
      <w:r>
        <w:rPr/>
        <w:t xml:space="preserve">, de longueur </w:t>
      </w:r>
      <m:oMath>
        <m:r>
          <m:rPr>
            <m:sty m:val="i"/>
          </m:rPr>
          <m:t>L</m:t>
        </m:r>
        <m:r>
          <m:rPr>
            <m:sty m:val="p"/>
          </m:rPr>
          <m:t>=</m:t>
        </m:r>
        <m:r>
          <m:rPr>
            <m:sty m:val="p"/>
          </m:rPr>
          <m:t>8</m:t>
        </m:r>
        <m:r>
          <m:rPr>
            <m:sty m:val="p"/>
          </m:rPr>
          <m:t>,</m:t>
        </m:r>
        <m:r>
          <m:rPr>
            <m:sty m:val="p"/>
          </m:rPr>
          <m:t>345</m:t>
        </m:r>
        <m:r>
          <m:rPr>
            <m:nor/>
          </m:rPr>
          <m:t xml:space="preserve"> </m:t>
        </m:r>
        <m:r>
          <m:rPr>
            <m:sty m:val="p"/>
          </m:rPr>
          <m:t>km</m:t>
        </m:r>
      </m:oMath>
      <w:r>
        <w:rPr>
          <w:rFonts w:eastAsia="Georgia" w:cs="Georgia" w:ascii="Georgia" w:hAnsi="Georgia"/>
        </w:rPr>
        <w:t xml:space="preserve">. Dans les conditions nominales de fonctionnement, cette conduite débite </w:t>
      </w:r>
      <m:oMath>
        <m:r>
          <m:rPr>
            <m:sty m:val="i"/>
          </m:rPr>
          <m:t>Q</m:t>
        </m:r>
        <m:r>
          <m:rPr>
            <m:sty m:val="p"/>
          </m:rPr>
          <m:t>=</m:t>
        </m:r>
        <m:r>
          <m:rPr>
            <m:sty m:val="p"/>
          </m:rPr>
          <m:t>30</m:t>
        </m:r>
        <m:r>
          <m:rPr>
            <m:nor/>
          </m:rPr>
          <m:t xml:space="preserve"> </m:t>
        </m:r>
        <m:r>
          <m:rPr>
            <m:sty m:val="p"/>
          </m:rPr>
          <m:t>L</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d'eau. La rugosité de la conduite en fonte dépend de son état de surface, selon qu'elle est neuve ou plus ou moins corrodée. On distingue trois cas</w:t>
      </w:r>
    </w:p>
    <w:p>
      <w:pPr>
        <w:numPr>
          <w:ilvl w:val="0"/>
          <w:numId w:val="2"/>
        </w:numPr>
        <w:spacing w:lineRule="auto"/>
      </w:pPr>
      <w:r>
        <w:rPr>
          <w:rFonts w:eastAsia="Georgia" w:cs="Georgia" w:ascii="Georgia" w:hAnsi="Georgia"/>
        </w:rPr>
        <w:t xml:space="preserve">F1 «fonte neuve»: </w:t>
      </w:r>
      <m:oMath>
        <m:sSub>
          <m:sSubPr/>
          <m:e>
            <m:r>
              <m:rPr>
                <m:sty m:val="i"/>
              </m:rPr>
              <m:t>ε</m:t>
            </m:r>
          </m:e>
          <m:sub>
            <m:r>
              <m:rPr>
                <m:sty m:val="p"/>
              </m:rPr>
              <m:t>1</m:t>
            </m:r>
          </m:sub>
        </m:sSub>
        <m:r>
          <m:rPr>
            <m:sty m:val="p"/>
          </m:rPr>
          <m:t>=</m:t>
        </m:r>
        <m:r>
          <m:rPr>
            <m:sty m:val="p"/>
          </m:rPr>
          <m:t>0</m:t>
        </m:r>
        <m:r>
          <m:rPr>
            <m:sty m:val="p"/>
          </m:rPr>
          <m:t>,</m:t>
        </m:r>
        <m:r>
          <m:rPr>
            <m:sty m:val="p"/>
          </m:rPr>
          <m:t>4</m:t>
        </m:r>
        <m:r>
          <m:rPr>
            <m:nor/>
          </m:rPr>
          <m:t xml:space="preserve"> </m:t>
        </m:r>
        <m:r>
          <m:rPr>
            <m:sty m:val="p"/>
          </m:rPr>
          <m:t>mm</m:t>
        </m:r>
      </m:oMath>
      <w:r>
        <w:rPr/>
        <w:t xml:space="preserve">;</w:t>
      </w:r>
    </w:p>
    <w:p>
      <w:pPr>
        <w:numPr>
          <w:ilvl w:val="0"/>
          <w:numId w:val="2"/>
        </w:numPr>
        <w:spacing w:lineRule="auto"/>
      </w:pPr>
      <w:r>
        <w:rPr>
          <w:rFonts w:eastAsia="Georgia" w:cs="Georgia" w:ascii="Georgia" w:hAnsi="Georgia"/>
        </w:rPr>
        <w:t xml:space="preserve">F2 «fonte corrodée»: </w:t>
      </w:r>
      <m:oMath>
        <m:sSub>
          <m:sSubPr/>
          <m:e>
            <m:r>
              <m:rPr>
                <m:sty m:val="i"/>
              </m:rPr>
              <m:t>ε</m:t>
            </m:r>
          </m:e>
          <m:sub>
            <m:r>
              <m:rPr>
                <m:sty m:val="p"/>
              </m:rPr>
              <m:t>2</m:t>
            </m:r>
          </m:sub>
        </m:sSub>
        <m:r>
          <m:rPr>
            <m:sty m:val="p"/>
          </m:rPr>
          <m:t>=</m:t>
        </m:r>
        <m:r>
          <m:rPr>
            <m:sty m:val="p"/>
          </m:rPr>
          <m:t>1</m:t>
        </m:r>
        <m:r>
          <m:rPr>
            <m:sty m:val="p"/>
          </m:rPr>
          <m:t>,</m:t>
        </m:r>
        <m:r>
          <m:rPr>
            <m:sty m:val="p"/>
          </m:rPr>
          <m:t>2</m:t>
        </m:r>
        <m:r>
          <m:rPr>
            <m:nor/>
          </m:rPr>
          <m:t xml:space="preserve"> </m:t>
        </m:r>
        <m:r>
          <m:rPr>
            <m:sty m:val="p"/>
          </m:rPr>
          <m:t>mm</m:t>
        </m:r>
      </m:oMath>
      <w:r>
        <w:rPr/>
        <w:t xml:space="preserve">;</w:t>
      </w:r>
    </w:p>
    <w:p>
      <w:pPr>
        <w:numPr>
          <w:ilvl w:val="0"/>
          <w:numId w:val="2"/>
        </w:numPr>
        <w:spacing w:lineRule="auto"/>
      </w:pPr>
      <w:r>
        <w:rPr>
          <w:rFonts w:eastAsia="Georgia" w:cs="Georgia" w:ascii="Georgia" w:hAnsi="Georgia"/>
        </w:rPr>
        <w:t xml:space="preserve">F3 «fonte déposée»: </w:t>
      </w:r>
      <m:oMath>
        <m:sSub>
          <m:sSubPr/>
          <m:e>
            <m:r>
              <m:rPr>
                <m:sty m:val="i"/>
              </m:rPr>
              <m:t>ε</m:t>
            </m:r>
          </m:e>
          <m:sub>
            <m:r>
              <m:rPr>
                <m:sty m:val="p"/>
              </m:rPr>
              <m:t>3</m:t>
            </m:r>
          </m:sub>
        </m:sSub>
        <m:r>
          <m:rPr>
            <m:sty m:val="p"/>
          </m:rPr>
          <m:t>=</m:t>
        </m:r>
        <m:r>
          <m:rPr>
            <m:sty m:val="p"/>
          </m:rPr>
          <m:t>1</m:t>
        </m:r>
        <m:r>
          <m:rPr>
            <m:sty m:val="p"/>
          </m:rPr>
          <m:t>,</m:t>
        </m:r>
        <m:r>
          <m:rPr>
            <m:sty m:val="p"/>
          </m:rPr>
          <m:t>6</m:t>
        </m:r>
        <m:r>
          <m:rPr>
            <m:nor/>
          </m:rPr>
          <m:t xml:space="preserve"> </m:t>
        </m:r>
        <m:r>
          <m:rPr>
            <m:sty m:val="p"/>
          </m:rPr>
          <m:t>mm</m:t>
        </m:r>
      </m:oMath>
      <w:r>
        <w:rPr/>
        <w:t xml:space="preserve">.</w:t>
      </w:r>
    </w:p>
    <w:p>
      <w:pPr>
        <w:spacing w:after="220" w:lineRule="auto"/>
      </w:pPr>
      <w:r>
        <w:rPr>
          <w:rFonts w:eastAsia="Georgia" w:cs="Georgia" w:ascii="Georgia" w:hAnsi="Georgia"/>
        </w:rPr>
        <w:t xml:space="preserve">En utilisant l'abaque de Moody, évaluer dans chacun de ces cas la perte de charge moyenne </w:t>
      </w:r>
      <m:oMath>
        <m:r>
          <m:rPr>
            <m:sty m:val="p"/>
          </m:rPr>
          <m:t>Δ</m:t>
        </m:r>
        <m:sSub>
          <m:sSubPr/>
          <m:e>
            <m:acc>
              <m:accPr>
                <m:chr m:val="‾"/>
              </m:accPr>
              <m:e>
                <m:r>
                  <m:rPr>
                    <m:sty m:val="i"/>
                  </m:rPr>
                  <m:t>H</m:t>
                </m:r>
              </m:e>
            </m:acc>
          </m:e>
          <m:sub>
            <m:r>
              <m:rPr>
                <m:sty m:val="i"/>
              </m:rPr>
              <m:t>l</m:t>
            </m:r>
          </m:sub>
        </m:sSub>
      </m:oMath>
      <w:r>
        <w:rPr/>
        <w:t xml:space="preserve"> de cette conduite dans ses conditions nominales d'utilisation ( </w:t>
      </w:r>
      <m:oMath>
        <m:r>
          <m:rPr>
            <m:sty m:val="i"/>
          </m:rPr>
          <m:t>Q</m:t>
        </m:r>
        <m:r>
          <m:rPr>
            <m:sty m:val="p"/>
          </m:rPr>
          <m:t>=</m:t>
        </m:r>
        <m:r>
          <m:rPr>
            <m:sty m:val="p"/>
          </m:rPr>
          <m:t>30</m:t>
        </m:r>
        <m:r>
          <m:rPr>
            <m:nor/>
          </m:rPr>
          <m:t xml:space="preserve"> </m:t>
        </m:r>
        <m:r>
          <m:rPr>
            <m:sty m:val="p"/>
          </m:rPr>
          <m:t>L</m:t>
        </m:r>
        <m:r>
          <m:rPr>
            <m:sty m:val="p"/>
          </m:rPr>
          <m:t>⋅</m:t>
        </m:r>
        <m:sSup>
          <m:sSupPr/>
          <m:e>
            <m:r>
              <m:rPr>
                <m:nor/>
              </m:rPr>
              <m:t xml:space="preserve"> </m:t>
            </m:r>
            <m:r>
              <m:rPr>
                <m:sty m:val="p"/>
              </m:rPr>
              <m:t>s</m:t>
            </m:r>
          </m:e>
          <m:sup>
            <m:r>
              <m:rPr>
                <m:sty m:val="p"/>
              </m:rPr>
              <m:t>−</m:t>
            </m:r>
            <m:r>
              <m:rPr>
                <m:sty m:val="p"/>
              </m:rPr>
              <m:t>1</m:t>
            </m:r>
          </m:sup>
        </m:sSup>
      </m:oMath>
      <w:r>
        <w:rPr/>
        <w:t xml:space="preserve"> ).</w:t>
      </w:r>
    </w:p>
    <w:p>
      <w:pPr>
        <w:spacing w:line="271" w:before="330" w:lineRule="auto"/>
      </w:pPr>
      <w:r>
        <w:rPr>
          <w:rFonts w:eastAsia="Georgia" w:cs="Georgia" w:ascii="Georgia" w:hAnsi="Georgia"/>
          <w:b/>
          <w:sz w:val="42"/>
        </w:rPr>
        <w:t xml:space="preserve">I.B.3) Pertes singulières</w:t>
      </w:r>
    </w:p>
    <w:p>
      <w:pPr>
        <w:spacing w:after="220" w:lineRule="auto"/>
      </w:pPr>
      <w:r>
        <w:rPr>
          <w:rFonts w:eastAsia="Georgia" w:cs="Georgia" w:ascii="Georgia" w:hAnsi="Georgia"/>
        </w:rPr>
        <w:t xml:space="preserve">Les pertes de charges singulières en régime turbulent peuvent s'écrire sous la forme</w:t>
      </w:r>
    </w:p>
    <w:p>
      <w:pPr>
        <w:spacing w:after="220" w:lineRule="auto"/>
      </w:pPr>
      <m:oMathPara>
        <m:oMath>
          <m:r>
            <m:rPr>
              <m:sty m:val="p"/>
            </m:rPr>
            <m:t>Δ</m:t>
          </m:r>
          <m:sSub>
            <m:sSubPr/>
            <m:e>
              <m:acc>
                <m:accPr>
                  <m:chr m:val="‾"/>
                </m:accPr>
                <m:e>
                  <m:r>
                    <m:rPr>
                      <m:sty m:val="i"/>
                    </m:rPr>
                    <m:t>H</m:t>
                  </m:r>
                </m:e>
              </m:acc>
            </m:e>
            <m:sub>
              <m:r>
                <m:rPr>
                  <m:sty m:val="i"/>
                </m:rPr>
                <m:t>s</m:t>
              </m:r>
            </m:sub>
          </m:sSub>
          <m:r>
            <m:rPr>
              <m:sty m:val="p"/>
            </m:rPr>
            <m:t>=</m:t>
          </m:r>
          <m:r>
            <m:rPr>
              <m:sty m:val="i"/>
            </m:rPr>
            <m:t>K</m:t>
          </m:r>
          <m:f>
            <m:fPr>
              <m:ctrlPr>
                <w:rPr>
                  <w:rFonts w:ascii="Cambria Math" w:hAnsi="Cambria Math"/>
                </w:rPr>
              </m:ctrlPr>
            </m:fPr>
            <m:num>
              <m:sSup>
                <m:sSupPr/>
                <m:e>
                  <m:r>
                    <m:rPr>
                      <m:sty m:val="i"/>
                    </m:rPr>
                    <m:t>U</m:t>
                  </m:r>
                </m:e>
                <m:sup>
                  <m:r>
                    <m:rPr>
                      <m:sty m:val="p"/>
                    </m:rPr>
                    <m:t>2</m:t>
                  </m:r>
                </m:sup>
              </m:sSup>
            </m:num>
            <m:den>
              <m:r>
                <m:rPr>
                  <m:sty m:val="p"/>
                </m:rPr>
                <m:t>2</m:t>
              </m:r>
              <m:r>
                <m:rPr>
                  <m:sty m:val="i"/>
                </m:rPr>
                <m:t>g</m:t>
              </m:r>
            </m:den>
          </m:f>
        </m:oMath>
      </m:oMathPara>
    </w:p>
    <w:p>
      <w:pPr>
        <w:spacing w:after="220" w:lineRule="auto"/>
      </w:pPr>
      <w:r>
        <w:rPr>
          <w:rFonts w:eastAsia="Georgia" w:cs="Georgia" w:ascii="Georgia" w:hAnsi="Georgia"/>
        </w:rPr>
        <w:t xml:space="preserve">(pertes proportionnelles à </w:t>
      </w:r>
      <m:oMath>
        <m:r>
          <m:rPr>
            <m:sty m:val="i"/>
          </m:rPr>
          <m:t>K</m:t>
        </m:r>
        <m:sSup>
          <m:sSupPr/>
          <m:e>
            <m:r>
              <m:rPr>
                <m:sty m:val="i"/>
              </m:rPr>
              <m:t>Q</m:t>
            </m:r>
          </m:e>
          <m:sup>
            <m:r>
              <m:rPr>
                <m:sty m:val="p"/>
              </m:rPr>
              <m:t>2</m:t>
            </m:r>
          </m:sup>
        </m:sSup>
      </m:oMath>
      <w:r>
        <w:rPr>
          <w:rFonts w:eastAsia="Georgia" w:cs="Georgia" w:ascii="Georgia" w:hAnsi="Georgia"/>
        </w:rPr>
        <w:t xml:space="preserve"> ), ce qui présente un intérêt évident pour le cumul des pertes de charges puisque l'on a écrit</w:t>
      </w:r>
    </w:p>
    <w:p>
      <w:pPr>
        <w:spacing w:after="220" w:lineRule="auto"/>
      </w:pPr>
      <m:oMathPara>
        <m:oMath>
          <m:r>
            <m:rPr>
              <m:sty m:val="p"/>
            </m:rPr>
            <m:t>Δ</m:t>
          </m:r>
          <m:sSub>
            <m:sSubPr/>
            <m:e>
              <m:acc>
                <m:accPr>
                  <m:chr m:val="‾"/>
                </m:accPr>
                <m:e>
                  <m:r>
                    <m:rPr>
                      <m:sty m:val="i"/>
                    </m:rPr>
                    <m:t>H</m:t>
                  </m:r>
                </m:e>
              </m:acc>
            </m:e>
            <m:sub>
              <m:r>
                <m:rPr>
                  <m:sty m:val="i"/>
                </m:rPr>
                <m:t>l</m:t>
              </m:r>
            </m:sub>
          </m:sSub>
          <m:r>
            <m:rPr>
              <m:sty m:val="p"/>
            </m:rPr>
            <m:t>=</m:t>
          </m:r>
          <m:r>
            <m:rPr>
              <m:sty m:val="i"/>
            </m:rPr>
            <m:t>f</m:t>
          </m:r>
          <m:d>
            <m:dPr>
              <m:begChr m:val="("/>
              <m:endChr m:val=")"/>
              <m:ctrlPr>
                <w:rPr>
                  <w:rFonts w:ascii="Cambria Math" w:hAnsi="Cambria Math"/>
                </w:rPr>
              </m:ctrlPr>
            </m:dPr>
            <m:e>
              <m:sSub>
                <m:sSubPr/>
                <m:e>
                  <m:r>
                    <m:rPr>
                      <m:sty m:val="i"/>
                    </m:rPr>
                    <m:t>R</m:t>
                  </m:r>
                </m:e>
                <m:sub>
                  <m:r>
                    <m:rPr>
                      <m:sty m:val="i"/>
                    </m:rPr>
                    <m:t>e</m:t>
                  </m:r>
                </m:sub>
              </m:sSub>
              <m:r>
                <m:rPr>
                  <m:sty m:val="p"/>
                </m:rPr>
                <m:t>,</m:t>
              </m:r>
              <m:f>
                <m:fPr>
                  <m:ctrlPr>
                    <w:rPr>
                      <w:rFonts w:ascii="Cambria Math" w:hAnsi="Cambria Math"/>
                    </w:rPr>
                  </m:ctrlPr>
                </m:fPr>
                <m:num>
                  <m:r>
                    <m:rPr>
                      <m:sty m:val="i"/>
                    </m:rPr>
                    <m:t>ε</m:t>
                  </m:r>
                </m:num>
                <m:den>
                  <m:r>
                    <m:rPr>
                      <m:sty m:val="i"/>
                    </m:rPr>
                    <m:t>D</m:t>
                  </m:r>
                </m:den>
              </m:f>
            </m:e>
          </m:d>
          <m:f>
            <m:fPr>
              <m:ctrlPr>
                <w:rPr>
                  <w:rFonts w:ascii="Cambria Math" w:hAnsi="Cambria Math"/>
                </w:rPr>
              </m:ctrlPr>
            </m:fPr>
            <m:num>
              <m:r>
                <m:rPr>
                  <m:sty m:val="i"/>
                </m:rPr>
                <m:t>L</m:t>
              </m:r>
            </m:num>
            <m:den>
              <m:r>
                <m:rPr>
                  <m:sty m:val="i"/>
                </m:rPr>
                <m:t>D</m:t>
              </m:r>
            </m:den>
          </m:f>
          <m:f>
            <m:fPr>
              <m:ctrlPr>
                <w:rPr>
                  <w:rFonts w:ascii="Cambria Math" w:hAnsi="Cambria Math"/>
                </w:rPr>
              </m:ctrlPr>
            </m:fPr>
            <m:num>
              <m:sSup>
                <m:sSupPr/>
                <m:e>
                  <m:r>
                    <m:rPr>
                      <m:sty m:val="i"/>
                    </m:rPr>
                    <m:t>U</m:t>
                  </m:r>
                </m:e>
                <m:sup>
                  <m:r>
                    <m:rPr>
                      <m:sty m:val="p"/>
                    </m:rPr>
                    <m:t>2</m:t>
                  </m:r>
                </m:sup>
              </m:sSup>
            </m:num>
            <m:den>
              <m:r>
                <m:rPr>
                  <m:sty m:val="p"/>
                </m:rPr>
                <m:t>2</m:t>
              </m:r>
              <m:r>
                <m:rPr>
                  <m:sty m:val="i"/>
                </m:rPr>
                <m:t>g</m:t>
              </m:r>
            </m:den>
          </m:f>
        </m:oMath>
      </m:oMathPara>
    </w:p>
    <w:p>
      <w:pPr>
        <w:spacing w:after="220" w:lineRule="auto"/>
      </w:pPr>
      <w:r>
        <w:rPr>
          <w:rFonts w:eastAsia="Georgia" w:cs="Georgia" w:ascii="Georgia" w:hAnsi="Georgia"/>
        </w:rPr>
        <w:t xml:space="preserve">(pertes régulières proportionnelles à </w:t>
      </w:r>
      <m:oMath>
        <m:r>
          <m:rPr>
            <m:sty m:val="i"/>
          </m:rPr>
          <m:t>L</m:t>
        </m:r>
        <m:sSup>
          <m:sSupPr/>
          <m:e>
            <m:r>
              <m:rPr>
                <m:sty m:val="i"/>
              </m:rPr>
              <m:t>Q</m:t>
            </m:r>
          </m:e>
          <m:sup>
            <m:r>
              <m:rPr>
                <m:sty m:val="p"/>
              </m:rPr>
              <m:t>2</m:t>
            </m:r>
          </m:sup>
        </m:sSup>
      </m:oMath>
      <w:r>
        <w:rPr>
          <w:rFonts w:eastAsia="Georgia" w:cs="Georgia" w:ascii="Georgia" w:hAnsi="Georgia"/>
        </w:rPr>
        <w:t xml:space="preserve"> ). Il peut s'agir de pertes dans les rétrécissements, les entrées, les grilles, les diffuseurs, les vannes, les robinets, les clapets, les coudes, etc.</w:t>
      </w:r>
      <w:r>
        <w:rPr/>
        <w:br w:type="textWrapping"/>
      </w:r>
      <w:r>
        <w:rPr>
          <w:rFonts w:eastAsia="Georgia" w:cs="Georgia" w:ascii="Georgia" w:hAnsi="Georgia"/>
        </w:rPr>
        <w:t xml:space="preserve">Pour une conduite cylindrique de diamètre </w:t>
      </w:r>
      <m:oMath>
        <m:r>
          <m:rPr>
            <m:sty m:val="i"/>
          </m:rPr>
          <m:t>D</m:t>
        </m:r>
        <m:r>
          <m:rPr>
            <m:sty m:val="p"/>
          </m:rPr>
          <m:t>=</m:t>
        </m:r>
        <m:r>
          <m:rPr>
            <m:sty m:val="p"/>
          </m:rPr>
          <m:t>20</m:t>
        </m:r>
        <m:r>
          <m:rPr>
            <m:nor/>
          </m:rPr>
          <m:t xml:space="preserve"> </m:t>
        </m:r>
        <m:r>
          <m:rPr>
            <m:sty m:val="p"/>
          </m:rPr>
          <m:t>cm</m:t>
        </m:r>
      </m:oMath>
      <w:r>
        <w:rPr/>
        <w:t xml:space="preserve"> et tournant de </w:t>
      </w:r>
      <m:oMath>
        <m:sSup>
          <m:sSupPr/>
          <m:e>
            <m:r>
              <m:rPr>
                <m:sty m:val="p"/>
              </m:rPr>
              <m:t>90</m:t>
            </m:r>
          </m:e>
          <m:sup>
            <m:r>
              <m:rPr>
                <m:sty m:val="p"/>
              </m:rPr>
              <m:t>∘</m:t>
            </m:r>
          </m:sup>
        </m:sSup>
      </m:oMath>
      <w:r>
        <w:rPr/>
        <w:t xml:space="preserve"> avec un rayon du coude de </w:t>
      </w:r>
      <m:oMath>
        <m:r>
          <m:rPr>
            <m:sty m:val="p"/>
          </m:rPr>
          <m:t>1</m:t>
        </m:r>
        <m:r>
          <m:rPr>
            <m:sty m:val="p"/>
          </m:rPr>
          <m:t>,</m:t>
        </m:r>
        <m:r>
          <m:rPr>
            <m:sty m:val="p"/>
          </m:rPr>
          <m:t>5</m:t>
        </m:r>
        <m:r>
          <m:rPr>
            <m:nor/>
          </m:rPr>
          <m:t xml:space="preserve"> </m:t>
        </m:r>
        <m:r>
          <m:rPr>
            <m:sty m:val="p"/>
          </m:rPr>
          <m:t>m</m:t>
        </m:r>
      </m:oMath>
      <w:r>
        <w:rPr/>
        <w:t xml:space="preserve">, on aura un coefficient </w:t>
      </w:r>
      <m:oMath>
        <m:r>
          <m:rPr>
            <m:sty m:val="i"/>
          </m:rPr>
          <m:t>K</m:t>
        </m:r>
      </m:oMath>
      <w:r>
        <w:rPr>
          <w:rFonts w:eastAsia="Georgia" w:cs="Georgia" w:ascii="Georgia" w:hAnsi="Georgia"/>
        </w:rPr>
        <w:t xml:space="preserve"> de 0,2 . Quelle est la longueur de conduite en «fonte neuve» équivalente à ce coude ?</w:t>
      </w:r>
      <w:r>
        <w:rPr/>
        <w:br w:type="textWrapping"/>
      </w:r>
      <w:r>
        <w:rPr>
          <w:rFonts w:eastAsia="Georgia" w:cs="Georgia" w:ascii="Georgia" w:hAnsi="Georgia"/>
        </w:rPr>
        <w:t xml:space="preserve">À titre de comparaison, une entrée saillante de ce diamètre a un coefficient </w:t>
      </w:r>
      <m:oMath>
        <m:r>
          <m:rPr>
            <m:sty m:val="i"/>
          </m:rPr>
          <m:t>K</m:t>
        </m:r>
      </m:oMath>
      <w:r>
        <w:rPr>
          <w:rFonts w:eastAsia="Georgia" w:cs="Georgia" w:ascii="Georgia" w:hAnsi="Georgia"/>
        </w:rPr>
        <w:t xml:space="preserve"> de l'ordre de l'unité, une vanne à passage direct de 0,1 , un robinet à soupape de 6 et un clapet anti-retour à soupape de 70 (soit une longueur équivalente de la conduite précédente de plus de 500 m ).</w:t>
      </w:r>
    </w:p>
    <w:p>
      <w:pPr>
        <w:spacing w:line="271" w:before="330" w:lineRule="auto"/>
      </w:pPr>
      <w:r>
        <w:rPr>
          <w:b/>
          <w:sz w:val="42"/>
        </w:rPr>
        <w:t xml:space="preserve">II Point de fonctionnement hydraulique d'une installation</w:t>
      </w:r>
    </w:p>
    <w:p>
      <w:pPr>
        <w:spacing w:line="271" w:before="330" w:lineRule="auto"/>
      </w:pPr>
      <w:r>
        <w:rPr>
          <w:rFonts w:eastAsia="Georgia" w:cs="Georgia" w:ascii="Georgia" w:hAnsi="Georgia"/>
          <w:b/>
          <w:sz w:val="42"/>
        </w:rPr>
        <w:t xml:space="preserve">II.A - Caractéristiques hydrauliques d'une pompe centrifuge</w:t>
      </w:r>
    </w:p>
    <w:p>
      <w:pPr>
        <w:spacing w:after="220" w:lineRule="auto"/>
      </w:pPr>
      <w:r>
        <w:rPr>
          <w:rFonts w:eastAsia="Georgia" w:cs="Georgia" w:ascii="Georgia" w:hAnsi="Georgia"/>
        </w:rPr>
        <w:t xml:space="preserve">Une pompe centrifuge est caractérisée a minima par trois paramètres : son débit volumique nominal </w:t>
      </w:r>
      <m:oMath>
        <m:sSub>
          <m:sSubPr/>
          <m:e>
            <m:r>
              <m:rPr>
                <m:sty m:val="i"/>
              </m:rPr>
              <m:t>Q</m:t>
            </m:r>
          </m:e>
          <m:sub>
            <m:r>
              <m:rPr>
                <m:sty m:val="i"/>
              </m:rPr>
              <m:t>p</m:t>
            </m:r>
          </m:sub>
        </m:sSub>
      </m:oMath>
      <w:r>
        <w:rPr>
          <w:rFonts w:eastAsia="Georgia" w:cs="Georgia" w:ascii="Georgia" w:hAnsi="Georgia"/>
        </w:rPr>
        <w:t xml:space="preserve">, sa hauteur manométrique totale nominale </w:t>
      </w:r>
      <m:oMath>
        <m:sSub>
          <m:sSubPr/>
          <m:e>
            <m:r>
              <m:rPr>
                <m:sty m:val="i"/>
              </m:rPr>
              <m:t>H</m:t>
            </m:r>
          </m:e>
          <m:sub>
            <m:r>
              <m:rPr>
                <m:sty m:val="i"/>
              </m:rPr>
              <m:t>m</m:t>
            </m:r>
            <m:r>
              <m:rPr>
                <m:sty m:val="i"/>
              </m:rPr>
              <m:t>t</m:t>
            </m:r>
          </m:sub>
        </m:sSub>
      </m:oMath>
      <w:r>
        <w:rPr>
          <w:rFonts w:eastAsia="Georgia" w:cs="Georgia" w:ascii="Georgia" w:hAnsi="Georgia"/>
        </w:rPr>
        <w:t xml:space="preserve"> qui est la variation de hauteur manométrique engendrée par la pompe (usuellement exprimée en mètre de colonne d'eau: mCE ) et son rendement hydraulique nominal </w:t>
      </w:r>
      <m:oMath>
        <m:r>
          <m:rPr>
            <m:sty m:val="i"/>
          </m:rPr>
          <m:t>R</m:t>
        </m:r>
        <m:r>
          <m:rPr>
            <m:sty m:val="p"/>
          </m:rPr>
          <m:t>=</m:t>
        </m:r>
        <m:sSub>
          <m:sSubPr/>
          <m:e>
            <m:r>
              <m:rPr>
                <m:sty m:val="i"/>
              </m:rPr>
              <m:t>P</m:t>
            </m:r>
          </m:e>
          <m:sub>
            <m:r>
              <m:rPr>
                <m:sty m:val="i"/>
              </m:rPr>
              <m:t>h</m:t>
            </m:r>
          </m:sub>
        </m:sSub>
        <m:r>
          <m:rPr>
            <m:sty m:val="p"/>
          </m:rPr>
          <m:t>/</m:t>
        </m:r>
        <m:sSub>
          <m:sSubPr/>
          <m:e>
            <m:r>
              <m:rPr>
                <m:sty m:val="i"/>
              </m:rPr>
              <m:t>P</m:t>
            </m:r>
          </m:e>
          <m:sub>
            <m:r>
              <m:rPr>
                <m:sty m:val="i"/>
              </m:rPr>
              <m:t>m</m:t>
            </m:r>
          </m:sub>
        </m:sSub>
      </m:oMath>
      <w:r>
        <w:rPr>
          <w:rFonts w:eastAsia="Georgia" w:cs="Georgia" w:ascii="Georgia" w:hAnsi="Georgia"/>
        </w:rPr>
        <w:t xml:space="preserve"> où </w:t>
      </w:r>
      <m:oMath>
        <m:sSub>
          <m:sSubPr/>
          <m:e>
            <m:r>
              <m:rPr>
                <m:sty m:val="i"/>
              </m:rPr>
              <m:t>P</m:t>
            </m:r>
          </m:e>
          <m:sub>
            <m:r>
              <m:rPr>
                <m:sty m:val="i"/>
              </m:rPr>
              <m:t>h</m:t>
            </m:r>
          </m:sub>
        </m:sSub>
      </m:oMath>
      <w:r>
        <w:rPr/>
        <w:t xml:space="preserve"> est la puissance hydraulique fournie par la pompe et </w:t>
      </w:r>
      <m:oMath>
        <m:sSub>
          <m:sSubPr/>
          <m:e>
            <m:r>
              <m:rPr>
                <m:sty m:val="i"/>
              </m:rPr>
              <m:t>P</m:t>
            </m:r>
          </m:e>
          <m:sub>
            <m:r>
              <m:rPr>
                <m:sty m:val="i"/>
              </m:rPr>
              <m:t>m</m:t>
            </m:r>
          </m:sub>
        </m:sSub>
      </m:oMath>
      <w:r>
        <w:rPr>
          <w:rFonts w:eastAsia="Georgia" w:cs="Georgia" w:ascii="Georgia" w:hAnsi="Georgia"/>
        </w:rPr>
        <w:t xml:space="preserve"> la puissance mécanique fournie à la pompe. Le constructeur fournit les courbes </w:t>
      </w:r>
      <m:oMath>
        <m:sSub>
          <m:sSubPr/>
          <m:e>
            <m:r>
              <m:rPr>
                <m:sty m:val="i"/>
              </m:rPr>
              <m:t>H</m:t>
            </m:r>
          </m:e>
          <m:sub>
            <m:r>
              <m:rPr>
                <m:sty m:val="i"/>
              </m:rPr>
              <m:t>m</m:t>
            </m:r>
            <m:r>
              <m:rPr>
                <m:sty m:val="i"/>
              </m:rPr>
              <m:t>t</m:t>
            </m:r>
          </m:sub>
        </m:sSub>
        <m:d>
          <m:dPr>
            <m:begChr m:val="("/>
            <m:endChr m:val=")"/>
            <m:ctrlPr>
              <w:rPr>
                <w:rFonts w:ascii="Cambria Math" w:hAnsi="Cambria Math"/>
              </w:rPr>
            </m:ctrlPr>
          </m:dPr>
          <m:e>
            <m:sSub>
              <m:sSubPr/>
              <m:e>
                <m:r>
                  <m:rPr>
                    <m:sty m:val="i"/>
                  </m:rPr>
                  <m:t>Q</m:t>
                </m:r>
              </m:e>
              <m:sub>
                <m:r>
                  <m:rPr>
                    <m:sty m:val="i"/>
                  </m:rPr>
                  <m:t>p</m:t>
                </m:r>
              </m:sub>
            </m:sSub>
          </m:e>
        </m:d>
      </m:oMath>
      <w:r>
        <w:rPr/>
        <w:t xml:space="preserve"> et </w:t>
      </w:r>
      <m:oMath>
        <m:r>
          <m:rPr>
            <m:sty m:val="i"/>
          </m:rPr>
          <m:t>R</m:t>
        </m:r>
        <m:d>
          <m:dPr>
            <m:begChr m:val="("/>
            <m:endChr m:val=")"/>
            <m:ctrlPr>
              <w:rPr>
                <w:rFonts w:ascii="Cambria Math" w:hAnsi="Cambria Math"/>
              </w:rPr>
            </m:ctrlPr>
          </m:dPr>
          <m:e>
            <m:sSub>
              <m:sSubPr/>
              <m:e>
                <m:r>
                  <m:rPr>
                    <m:sty m:val="i"/>
                  </m:rPr>
                  <m:t>Q</m:t>
                </m:r>
              </m:e>
              <m:sub>
                <m:r>
                  <m:rPr>
                    <m:sty m:val="i"/>
                  </m:rPr>
                  <m:t>p</m:t>
                </m:r>
              </m:sub>
            </m:sSub>
          </m:e>
        </m:d>
      </m:oMath>
      <w:r>
        <w:rPr>
          <w:rFonts w:eastAsia="Georgia" w:cs="Georgia" w:ascii="Georgia" w:hAnsi="Georgia"/>
        </w:rPr>
        <w:t xml:space="preserve">. On dispose (figure 2) de la caractéristique hydraulique du type de pompe retenue (WDE 32). Il s'agit d'une pompe centrifuge multi-étages dont le fonctionnement ne sera pas étudié ici.</w:t>
      </w:r>
      <w:r>
        <w:rPr/>
        <w:br w:type="textWrapping"/>
      </w:r>
      <w:r>
        <w:rPr>
          <w:rFonts w:eastAsia="Georgia" w:cs="Georgia" w:ascii="Georgia" w:hAnsi="Georgia"/>
        </w:rPr>
        <w:t xml:space="preserve">Cette pompe étant fabriquée aux USA, la documentation fournie par le constructeur utilise des unités anglosaxonnes : on notera que, dans la figure 2, la hauteur manométrique totale </w:t>
      </w:r>
      <m:oMath>
        <m:sSub>
          <m:sSubPr/>
          <m:e>
            <m:r>
              <m:rPr>
                <m:sty m:val="i"/>
              </m:rPr>
              <m:t>H</m:t>
            </m:r>
          </m:e>
          <m:sub>
            <m:r>
              <m:rPr>
                <m:sty m:val="i"/>
              </m:rPr>
              <m:t>m</m:t>
            </m:r>
            <m:r>
              <m:rPr>
                <m:sty m:val="i"/>
              </m:rPr>
              <m:t>t</m:t>
            </m:r>
          </m:sub>
        </m:sSub>
      </m:oMath>
      <w:r>
        <w:rPr>
          <w:rFonts w:eastAsia="Georgia" w:cs="Georgia" w:ascii="Georgia" w:hAnsi="Georgia"/>
        </w:rPr>
        <w:t xml:space="preserve"> («head») est exprimée en pieds (ft) (à gauche de la figure) et le débit volumique </w:t>
      </w:r>
      <m:oMath>
        <m:sSub>
          <m:sSubPr/>
          <m:e>
            <m:r>
              <m:rPr>
                <m:sty m:val="i"/>
              </m:rPr>
              <m:t>Q</m:t>
            </m:r>
          </m:e>
          <m:sub>
            <m:r>
              <m:rPr>
                <m:sty m:val="i"/>
              </m:rPr>
              <m:t>p</m:t>
            </m:r>
          </m:sub>
        </m:sSub>
      </m:oMath>
      <w:r>
        <w:rPr>
          <w:rFonts w:eastAsia="Georgia" w:cs="Georgia" w:ascii="Georgia" w:hAnsi="Georgia"/>
        </w:rPr>
        <w:t xml:space="preserve"> («capacity») en gallons US par minute (USgpm). Pour convertir ces unités anglo-saxonnes, on utilisera les facteurs de conversion indiqués en bas à droite de la figure 2.</w:t>
      </w:r>
      <w:r>
        <w:rPr/>
        <w:br w:type="textWrapping"/>
      </w:r>
      <w:r>
        <w:rPr>
          <w:rFonts w:eastAsia="Georgia" w:cs="Georgia" w:ascii="Georgia" w:hAnsi="Georgia"/>
        </w:rPr>
        <w:t xml:space="preserve">II.A.1) La puissance hydraulique d'une pompe s'écrit </w:t>
      </w:r>
      <m:oMath>
        <m:sSub>
          <m:sSubPr/>
          <m:e>
            <m:r>
              <m:rPr>
                <m:sty m:val="i"/>
              </m:rPr>
              <m:t>P</m:t>
            </m:r>
          </m:e>
          <m:sub>
            <m:r>
              <m:rPr>
                <m:sty m:val="i"/>
              </m:rPr>
              <m:t>h</m:t>
            </m:r>
          </m:sub>
        </m:sSub>
        <m:r>
          <m:rPr>
            <m:sty m:val="p"/>
          </m:rPr>
          <m:t>=</m:t>
        </m:r>
        <m:r>
          <m:rPr>
            <m:sty m:val="i"/>
          </m:rPr>
          <m:t>ρ</m:t>
        </m:r>
        <m:r>
          <m:rPr>
            <m:sty m:val="i"/>
          </m:rPr>
          <m:t>g</m:t>
        </m:r>
        <m:sSub>
          <m:sSubPr/>
          <m:e>
            <m:r>
              <m:rPr>
                <m:sty m:val="i"/>
              </m:rPr>
              <m:t>H</m:t>
            </m:r>
          </m:e>
          <m:sub>
            <m:r>
              <m:rPr>
                <m:sty m:val="i"/>
              </m:rPr>
              <m:t>m</m:t>
            </m:r>
            <m:r>
              <m:rPr>
                <m:sty m:val="i"/>
              </m:rPr>
              <m:t>t</m:t>
            </m:r>
          </m:sub>
        </m:sSub>
        <m:sSub>
          <m:sSubPr/>
          <m:e>
            <m:r>
              <m:rPr>
                <m:sty m:val="i"/>
              </m:rPr>
              <m:t>Q</m:t>
            </m:r>
          </m:e>
          <m:sub>
            <m:r>
              <m:rPr>
                <m:sty m:val="i"/>
              </m:rPr>
              <m:t>p</m:t>
            </m:r>
          </m:sub>
        </m:sSub>
      </m:oMath>
      <w:r>
        <w:rPr/>
        <w:t xml:space="preserve">. Justifier cette expression.</w:t>
      </w:r>
    </w:p>
    <w:p>
      <w:pPr>
        <w:spacing w:lineRule="auto"/>
        <w:jc w:val="center"/>
      </w:pPr>
      <w:r>
        <w:rPr/>
        <w:drawing>
          <wp:inline distB="0" distL="0" distR="0" distT="0">
            <wp:extent cx="5486400" cy="3487726"/>
            <wp:effectExtent b="0" l="0" r="0" t="0"/>
            <wp:docPr id="1" name="image-34cffca6314e90d4bb445ba877399ea5bddb9bf8.jpg"/>
            <a:graphic>
              <a:graphicData uri="http://schemas.openxmlformats.org/drawingml/2006/picture">
                <pic:pic>
                  <pic:nvPicPr>
                    <pic:cNvPr id="1" name="image-34cffca6314e90d4bb445ba877399ea5bddb9bf8.jpg" descr=""/>
                    <pic:cNvPicPr/>
                  </pic:nvPicPr>
                  <pic:blipFill>
                    <a:blip r:embed="rId5" cstate="print"/>
                    <a:srcRect b="0" l="0" r="0" t="0"/>
                    <a:stretch>
                      <a:fillRect/>
                    </a:stretch>
                  </pic:blipFill>
                  <pic:spPr>
                    <a:xfrm>
                      <a:off x="0" y="0"/>
                      <a:ext cx="5486400" cy="3487726"/>
                    </a:xfrm>
                    <a:prstGeom prst="rect"/>
                  </pic:spPr>
                </pic:pic>
              </a:graphicData>
            </a:graphic>
          </wp:inline>
        </w:drawing>
      </w:r>
    </w:p>
    <w:p>
      <w:pPr>
        <w:spacing w:lineRule="auto"/>
      </w:pPr>
      <w:r>
        <w:rPr>
          <w:rFonts w:eastAsia="Georgia" w:cs="Georgia" w:ascii="Georgia" w:hAnsi="Georgia"/>
        </w:rPr>
        <w:t xml:space="preserve">Figure 1 Schéma d'une pompe centrifuge</w:t>
      </w:r>
    </w:p>
    <w:p>
      <w:pPr>
        <w:spacing w:lineRule="auto"/>
        <w:jc w:val="center"/>
      </w:pPr>
      <w:r>
        <w:rPr/>
        <w:drawing>
          <wp:inline distB="0" distL="0" distR="0" distT="0">
            <wp:extent cx="5486400" cy="6592289"/>
            <wp:effectExtent b="0" l="0" r="0" t="0"/>
            <wp:docPr id="2" name="image-8de64c73ce4012c444b4214819af1d3c6dc3c830.jpg"/>
            <a:graphic>
              <a:graphicData uri="http://schemas.openxmlformats.org/drawingml/2006/picture">
                <pic:pic>
                  <pic:nvPicPr>
                    <pic:cNvPr id="2" name="image-8de64c73ce4012c444b4214819af1d3c6dc3c830.jpg" descr=""/>
                    <pic:cNvPicPr/>
                  </pic:nvPicPr>
                  <pic:blipFill>
                    <a:blip r:embed="rId6" cstate="print"/>
                    <a:srcRect b="0" l="0" r="0" t="0"/>
                    <a:stretch>
                      <a:fillRect/>
                    </a:stretch>
                  </pic:blipFill>
                  <pic:spPr>
                    <a:xfrm>
                      <a:off x="0" y="0"/>
                      <a:ext cx="5486400" cy="6592289"/>
                    </a:xfrm>
                    <a:prstGeom prst="rect"/>
                  </pic:spPr>
                </pic:pic>
              </a:graphicData>
            </a:graphic>
          </wp:inline>
        </w:drawing>
      </w:r>
    </w:p>
    <w:p>
      <w:pPr>
        <w:spacing w:lineRule="auto"/>
      </w:pPr>
      <w:r>
        <w:rPr>
          <w:rFonts w:eastAsia="Georgia" w:cs="Georgia" w:ascii="Georgia" w:hAnsi="Georgia"/>
        </w:rPr>
        <w:t xml:space="preserve">Figure 2 Caractéristiques de la pompe WDE 32</w:t>
      </w:r>
    </w:p>
    <w:p>
      <w:pPr>
        <w:spacing w:after="220" w:lineRule="auto"/>
      </w:pPr>
      <w:r>
        <w:rPr>
          <w:rFonts w:eastAsia="Georgia" w:cs="Georgia" w:ascii="Georgia" w:hAnsi="Georgia"/>
        </w:rPr>
        <w:t xml:space="preserve">II.A.2) Calculer la puissance mécanique </w:t>
      </w:r>
      <m:oMath>
        <m:sSub>
          <m:sSubPr/>
          <m:e>
            <m:r>
              <m:rPr>
                <m:sty m:val="i"/>
              </m:rPr>
              <m:t>P</m:t>
            </m:r>
          </m:e>
          <m:sub>
            <m:r>
              <m:rPr>
                <m:sty m:val="i"/>
              </m:rPr>
              <m:t>m</m:t>
            </m:r>
          </m:sub>
        </m:sSub>
      </m:oMath>
      <w:r>
        <w:rPr>
          <w:rFonts w:eastAsia="Georgia" w:cs="Georgia" w:ascii="Georgia" w:hAnsi="Georgia"/>
        </w:rPr>
        <w:t xml:space="preserve"> à fournir sur l'axe de la pompe pour le point de fonctionnement </w:t>
      </w:r>
      <m:oMath>
        <m:sSub>
          <m:sSubPr/>
          <m:e>
            <m:r>
              <m:rPr>
                <m:sty m:val="i"/>
              </m:rPr>
              <m:t>H</m:t>
            </m:r>
          </m:e>
          <m:sub>
            <m:r>
              <m:rPr>
                <m:sty m:val="i"/>
              </m:rPr>
              <m:t>m</m:t>
            </m:r>
            <m:r>
              <m:rPr>
                <m:sty m:val="i"/>
              </m:rPr>
              <m:t>t</m:t>
            </m:r>
          </m:sub>
        </m:sSub>
        <m:d>
          <m:dPr>
            <m:begChr m:val="("/>
            <m:endChr m:val=")"/>
            <m:ctrlPr>
              <w:rPr>
                <w:rFonts w:ascii="Cambria Math" w:hAnsi="Cambria Math"/>
              </w:rPr>
            </m:ctrlPr>
          </m:dPr>
          <m:e>
            <m:sSub>
              <m:sSubPr/>
              <m:e>
                <m:r>
                  <m:rPr>
                    <m:sty m:val="i"/>
                  </m:rPr>
                  <m:t>Q</m:t>
                </m:r>
              </m:e>
              <m:sub>
                <m:r>
                  <m:rPr>
                    <m:sty m:val="i"/>
                  </m:rPr>
                  <m:t>p</m:t>
                </m:r>
              </m:sub>
            </m:sSub>
          </m:e>
        </m:d>
      </m:oMath>
      <w:r>
        <w:rPr>
          <w:rFonts w:eastAsia="Georgia" w:cs="Georgia" w:ascii="Georgia" w:hAnsi="Georgia"/>
        </w:rPr>
        <w:t xml:space="preserve"> envisagé, repéré par le point </w:t>
      </w:r>
      <m:oMath>
        <m:r>
          <m:rPr>
            <m:sty m:val="i"/>
          </m:rPr>
          <m:t>F</m:t>
        </m:r>
      </m:oMath>
      <w:r>
        <w:rPr/>
        <w:t xml:space="preserve"> sur la figure 2 , en utilisant le rendement hydraulique en ce point.</w:t>
      </w:r>
    </w:p>
    <w:p>
      <w:pPr>
        <w:spacing w:line="271" w:before="330" w:lineRule="auto"/>
      </w:pPr>
      <w:r>
        <w:rPr>
          <w:rFonts w:eastAsia="Georgia" w:cs="Georgia" w:ascii="Georgia" w:hAnsi="Georgia"/>
          <w:b/>
          <w:sz w:val="42"/>
        </w:rPr>
        <w:t xml:space="preserve">II.B - Point de fonctionnement hydraulique et consommation électrique</w:t>
      </w:r>
    </w:p>
    <w:p>
      <w:pPr>
        <w:spacing w:after="220" w:lineRule="auto"/>
      </w:pPr>
      <w:r>
        <w:rPr>
          <w:rFonts w:eastAsia="Georgia" w:cs="Georgia" w:ascii="Georgia" w:hAnsi="Georgia"/>
        </w:rPr>
        <w:t xml:space="preserve">L'alimentation en eau potable d'un village nécessite un volume d'eau de </w:t>
      </w:r>
      <m:oMath>
        <m:r>
          <m:rPr>
            <m:sty m:val="p"/>
          </m:rPr>
          <m:t>2600</m:t>
        </m:r>
        <m:sSup>
          <m:sSupPr/>
          <m:e>
            <m:r>
              <m:rPr>
                <m:nor/>
              </m:rPr>
              <m:t xml:space="preserve"> </m:t>
            </m:r>
            <m:r>
              <m:rPr>
                <m:sty m:val="p"/>
              </m:rPr>
              <m:t>m</m:t>
            </m:r>
          </m:e>
          <m:sup>
            <m:r>
              <m:rPr>
                <m:sty m:val="p"/>
              </m:rPr>
              <m:t>3</m:t>
            </m:r>
          </m:sup>
        </m:sSup>
      </m:oMath>
      <w:r>
        <w:rPr>
          <w:rFonts w:eastAsia="Georgia" w:cs="Georgia" w:ascii="Georgia" w:hAnsi="Georgia"/>
        </w:rPr>
        <w:t xml:space="preserve"> par jour. On décide de faire le traitement de l'eau directement à côté de la prise d'aspiration (altitude 502 m ) et de transporter l'eau potable au château d'eau du village (altitude 767 m ) par une conduite de refoulement en fonte de diamètre nominal 200 mm et de longueur </w:t>
      </w:r>
      <m:oMath>
        <m:r>
          <m:rPr>
            <m:sty m:val="p"/>
          </m:rPr>
          <m:t>8</m:t>
        </m:r>
        <m:r>
          <m:rPr>
            <m:sty m:val="p"/>
          </m:rPr>
          <m:t>,</m:t>
        </m:r>
        <m:r>
          <m:rPr>
            <m:sty m:val="p"/>
          </m:rPr>
          <m:t>345</m:t>
        </m:r>
        <m:r>
          <m:rPr>
            <m:nor/>
          </m:rPr>
          <m:t xml:space="preserve"> </m:t>
        </m:r>
        <m:r>
          <m:rPr>
            <m:sty m:val="p"/>
          </m:rPr>
          <m:t>km</m:t>
        </m:r>
      </m:oMath>
      <w:r>
        <w:rPr>
          <w:rFonts w:eastAsia="Georgia" w:cs="Georgia" w:ascii="Georgia" w:hAnsi="Georgia"/>
        </w:rPr>
        <w:t xml:space="preserve">. On négligera les pertes singulières devant les pertes linéaires ainsi que les pertes à l'aspiration devant les pertes au refoulement.</w:t>
      </w:r>
      <w:r>
        <w:rPr/>
        <w:br w:type="textWrapping"/>
      </w:r>
      <w:r>
        <w:rPr>
          <w:rFonts w:eastAsia="Georgia" w:cs="Georgia" w:ascii="Georgia" w:hAnsi="Georgia"/>
        </w:rPr>
        <w:t xml:space="preserve">II.B.1) Montrer que deux exemplaires de la pompe WDE 32 doivent nécessairement être montés en parallèle.</w:t>
      </w:r>
      <w:r>
        <w:rPr/>
        <w:br w:type="textWrapping"/>
      </w:r>
      <w:r>
        <w:rPr>
          <w:rFonts w:eastAsia="Georgia" w:cs="Georgia" w:ascii="Georgia" w:hAnsi="Georgia"/>
        </w:rPr>
        <w:t xml:space="preserve">II.B.2) En utilisant les valeurs des pertes régulières </w:t>
      </w:r>
      <m:oMath>
        <m:r>
          <m:rPr>
            <m:sty m:val="p"/>
          </m:rPr>
          <m:t>Δ</m:t>
        </m:r>
        <m:sSub>
          <m:sSubPr/>
          <m:e>
            <m:acc>
              <m:accPr>
                <m:chr m:val="‾"/>
              </m:accPr>
              <m:e>
                <m:r>
                  <m:rPr>
                    <m:sty m:val="i"/>
                  </m:rPr>
                  <m:t>H</m:t>
                </m:r>
              </m:e>
            </m:acc>
          </m:e>
          <m:sub>
            <m:r>
              <m:rPr>
                <m:sty m:val="i"/>
              </m:rPr>
              <m:t>l</m:t>
            </m:r>
          </m:sub>
        </m:sSub>
      </m:oMath>
      <w:r>
        <w:rPr>
          <w:rFonts w:eastAsia="Georgia" w:cs="Georgia" w:ascii="Georgia" w:hAnsi="Georgia"/>
        </w:rPr>
        <w:t xml:space="preserve"> calculées à la question I.B.2, ainsi que les figures 2 et 7 , déterminer le point de fonctionnement ( </w:t>
      </w:r>
      <m:oMath>
        <m:r>
          <m:rPr>
            <m:sty m:val="i"/>
          </m:rPr>
          <m:t>Q</m:t>
        </m:r>
      </m:oMath>
      <w:r>
        <w:rPr/>
        <w:t xml:space="preserve"> et </w:t>
      </w:r>
      <m:oMath>
        <m:sSub>
          <m:sSubPr/>
          <m:e>
            <m:r>
              <m:rPr>
                <m:sty m:val="i"/>
              </m:rPr>
              <m:t>H</m:t>
            </m:r>
          </m:e>
          <m:sub>
            <m:r>
              <m:rPr>
                <m:sty m:val="i"/>
              </m:rPr>
              <m:t>m</m:t>
            </m:r>
            <m:r>
              <m:rPr>
                <m:sty m:val="i"/>
              </m:rPr>
              <m:t>t</m:t>
            </m:r>
          </m:sub>
        </m:sSub>
      </m:oMath>
      <w:r>
        <w:rPr>
          <w:rFonts w:eastAsia="Georgia" w:cs="Georgia" w:ascii="Georgia" w:hAnsi="Georgia"/>
        </w:rPr>
        <w:t xml:space="preserve"> ) suivant l'état de rugosité de la fonte (neuve, corrodée ou déposée).</w:t>
      </w:r>
      <w:r>
        <w:rPr/>
        <w:br w:type="textWrapping"/>
      </w:r>
      <w:r>
        <w:rPr>
          <w:rFonts w:eastAsia="Georgia" w:cs="Georgia" w:ascii="Georgia" w:hAnsi="Georgia"/>
        </w:rPr>
        <w:t xml:space="preserve">II.B.3) Dans un premier temps, les pompes sont entrainées par des moteurs asynchrones dont le rendement électromagnétique est de </w:t>
      </w:r>
      <m:oMath>
        <m:r>
          <m:rPr>
            <m:sty m:val="p"/>
          </m:rPr>
          <m:t>80</m:t>
        </m:r>
        <m:r>
          <m:rPr>
            <m:sty m:val="p"/>
          </m:rPr>
          <m:t>%</m:t>
        </m:r>
      </m:oMath>
      <w:r>
        <w:rPr>
          <w:rFonts w:eastAsia="Georgia" w:cs="Georgia" w:ascii="Georgia" w:hAnsi="Georgia"/>
        </w:rPr>
        <w:t xml:space="preserve">. Calculer, dans les trois situations précédentes, la puissance électrique consommée. Commenter l'effet du «vieillissement» de la surface intérieure de la canalisation sur la puissance électrique demandée et sur le rendement énergétique global.</w:t>
      </w:r>
      <w:r>
        <w:rPr/>
        <w:br w:type="textWrapping"/>
      </w:r>
      <w:r>
        <w:rPr>
          <w:rFonts w:eastAsia="Georgia" w:cs="Georgia" w:ascii="Georgia" w:hAnsi="Georgia"/>
        </w:rPr>
        <w:t xml:space="preserve">II.B.4) Compte tenu de la vitesse de rotation des pompes, estimer le couple moteur mécanique de chaque moteur entrainant la pompe. Choisir le moteur synchrone à aimants permanents le plus approprié parmi les quatre décrits en figure 3 et utiliser son rendement à la vitesse de rotation de la pompe pour déterminer la puissance électrique consommée. Comparer à la puissance électrique consommée par un moteur asynchrone.</w:t>
      </w:r>
    </w:p>
    <w:p>
      <w:pPr>
        <w:spacing w:lineRule="auto"/>
        <w:jc w:val="center"/>
      </w:pPr>
      <w:r>
        <w:rPr/>
        <w:drawing>
          <wp:inline distB="0" distL="0" distR="0" distT="0">
            <wp:extent cx="5486400" cy="2139696"/>
            <wp:effectExtent b="0" l="0" r="0" t="0"/>
            <wp:docPr id="3" name="image-cd3aaccbe10afc764a97e19381654351da87409c.jpg"/>
            <a:graphic>
              <a:graphicData uri="http://schemas.openxmlformats.org/drawingml/2006/picture">
                <pic:pic>
                  <pic:nvPicPr>
                    <pic:cNvPr id="3" name="image-cd3aaccbe10afc764a97e19381654351da87409c.jpg" descr=""/>
                    <pic:cNvPicPr/>
                  </pic:nvPicPr>
                  <pic:blipFill>
                    <a:blip r:embed="rId7" cstate="print"/>
                    <a:srcRect b="0" l="0" r="0" t="0"/>
                    <a:stretch>
                      <a:fillRect/>
                    </a:stretch>
                  </pic:blipFill>
                  <pic:spPr>
                    <a:xfrm>
                      <a:off x="0" y="0"/>
                      <a:ext cx="5486400" cy="2139696"/>
                    </a:xfrm>
                    <a:prstGeom prst="rect"/>
                  </pic:spPr>
                </pic:pic>
              </a:graphicData>
            </a:graphic>
          </wp:inline>
        </w:drawing>
      </w:r>
    </w:p>
    <w:p>
      <w:pPr>
        <w:spacing w:lineRule="auto"/>
      </w:pPr>
      <w:r>
        <w:rPr>
          <w:rFonts w:eastAsia="Georgia" w:cs="Georgia" w:ascii="Georgia" w:hAnsi="Georgia"/>
        </w:rPr>
        <w:t xml:space="preserve">Figure 3 Caractéristiques de 4 moteurs</w:t>
      </w:r>
    </w:p>
    <w:p>
      <w:pPr>
        <w:pStyle w:val="SourceCode"/>
        <w:shd w:val="clear" w:fill="F8F8FA"/>
        <w:spacing w:lineRule="auto"/>
      </w:pPr>
      <w:r>
        <w:rPr>
          <w:rStyle w:val="VerbatimChar"/>
          <w:rFonts w:eastAsia="Consolas" w:cs="Consolas" w:ascii="Consolas" w:hAnsi="Consolas"/>
        </w:rPr>
        <w:t xml:space="preserve">9 LSRPM 200 LU2 : 3600 tr·min -1 / 115 kW / 213 A</w:t>
        <w:br/>
        <w:t xml:space="preserve">10 LSRPM 200 L1 : 3600 tr }\mp@subsup{\textrm{min}}{}{-1}/85\textrm{kW / 158 A</w:t>
        <w:br/>
        <w:t xml:space="preserve">11 LSRPM 200 L1 : 3600 tr }\mp@subsup{\textrm{min}}{}{-1}/70\textrm{kW / 130 A</w:t>
        <w:br/>
        <w:t xml:space="preserve">12 LSRPM 200 L1:3600 tr}\cdot\mp@subsup{\operatorname{min}}{}{-1}/50\textrm{kW / 97 A</w:t>
        <w:br/>
        <w:t xml:space="preserve"/>
      </w:r>
    </w:p>
    <w:p>
      <w:pPr>
        <w:spacing w:line="271" w:before="330" w:lineRule="auto"/>
      </w:pPr>
      <w:r>
        <w:rPr>
          <w:rFonts w:eastAsia="Georgia" w:cs="Georgia" w:ascii="Georgia" w:hAnsi="Georgia"/>
          <w:b/>
          <w:sz w:val="42"/>
        </w:rPr>
        <w:t xml:space="preserve">III Remplacement des moteurs asynchrones par des moteurs synchrones à aimants permanents. Évaluation du couple</w:t>
      </w:r>
    </w:p>
    <w:p>
      <w:pPr>
        <w:spacing w:after="220" w:lineRule="auto"/>
      </w:pPr>
      <w:r>
        <w:rPr>
          <w:rFonts w:eastAsia="Georgia" w:cs="Georgia" w:ascii="Georgia" w:hAnsi="Georgia"/>
        </w:rPr>
        <w:t xml:space="preserve">Les moteurs synchrones à aimants permanents d'assez forte puissance (comme le modèle choisi précédemment) sont en général alimentés par des variateurs produisant un signal de tension et donc des courants sinusoïdaux triphasés. Par souci de simplification, nous étudierons ici un système de courants statoriques diphasés.</w:t>
      </w:r>
    </w:p>
    <w:p>
      <w:pPr>
        <w:spacing w:line="271" w:before="330" w:lineRule="auto"/>
      </w:pPr>
      <w:r>
        <w:rPr>
          <w:rFonts w:eastAsia="Georgia" w:cs="Georgia" w:ascii="Georgia" w:hAnsi="Georgia"/>
          <w:b/>
          <w:sz w:val="42"/>
        </w:rPr>
        <w:t xml:space="preserve">III.A - Champ magnétique rotorique</w:t>
      </w:r>
    </w:p>
    <w:p>
      <w:pPr>
        <w:spacing w:after="220" w:lineRule="auto"/>
      </w:pPr>
      <w:r>
        <w:rPr>
          <w:rFonts w:eastAsia="Georgia" w:cs="Georgia" w:ascii="Georgia" w:hAnsi="Georgia"/>
        </w:rPr>
        <w:t xml:space="preserve">Le rotor sera assimilé à un bloc cylindrique homogène d'axe </w:t>
      </w:r>
      <m:oMath>
        <m:sSup>
          <m:sSupPr/>
          <m:e>
            <m:r>
              <m:rPr>
                <m:sty m:val="i"/>
              </m:rPr>
              <m:t>z</m:t>
            </m:r>
          </m:e>
          <m:sup>
            <m:r>
              <m:rPr>
                <m:sty m:val="i"/>
              </m:rPr>
              <m:t>′</m:t>
            </m:r>
          </m:sup>
        </m:sSup>
        <m:r>
          <m:rPr>
            <m:sty m:val="i"/>
          </m:rPr>
          <m:t>z</m:t>
        </m:r>
      </m:oMath>
      <w:r>
        <w:rPr/>
        <w:t xml:space="preserve">, d'aimantation permanente uniforme d'axe </w:t>
      </w:r>
      <m:oMath>
        <m:sSup>
          <m:sSupPr/>
          <m:e>
            <m:r>
              <m:rPr>
                <m:sty m:val="i"/>
              </m:rPr>
              <m:t>y</m:t>
            </m:r>
          </m:e>
          <m:sup>
            <m:r>
              <m:rPr>
                <m:sty m:val="i"/>
              </m:rPr>
              <m:t>′</m:t>
            </m:r>
          </m:sup>
        </m:sSup>
        <m:r>
          <m:rPr>
            <m:sty m:val="i"/>
          </m:rPr>
          <m:t>y</m:t>
        </m:r>
      </m:oMath>
      <w:r>
        <w:rPr/>
        <w:t xml:space="preserve">. L'axe </w:t>
      </w:r>
      <m:oMath>
        <m:sSup>
          <m:sSupPr/>
          <m:e>
            <m:r>
              <m:rPr>
                <m:sty m:val="i"/>
              </m:rPr>
              <m:t>x</m:t>
            </m:r>
          </m:e>
          <m:sup>
            <m:r>
              <m:rPr>
                <m:sty m:val="i"/>
              </m:rPr>
              <m:t>′</m:t>
            </m:r>
          </m:sup>
        </m:sSup>
        <m:r>
          <m:rPr>
            <m:sty m:val="i"/>
          </m:rPr>
          <m:t>x</m:t>
        </m:r>
      </m:oMath>
      <w:r>
        <w:rPr>
          <w:rFonts w:eastAsia="Georgia" w:cs="Georgia" w:ascii="Georgia" w:hAnsi="Georgia"/>
        </w:rPr>
        <w:t xml:space="preserve"> est un axe fixe dans le référentiel du stator permettant de repérer les angles dans le plan perpendiculaire à </w:t>
      </w:r>
      <m:oMath>
        <m:sSup>
          <m:sSupPr/>
          <m:e>
            <m:r>
              <m:rPr>
                <m:sty m:val="i"/>
              </m:rPr>
              <m:t>z</m:t>
            </m:r>
          </m:e>
          <m:sup>
            <m:r>
              <m:rPr>
                <m:sty m:val="i"/>
              </m:rPr>
              <m:t>′</m:t>
            </m:r>
          </m:sup>
        </m:sSup>
        <m:r>
          <m:rPr>
            <m:sty m:val="i"/>
          </m:rPr>
          <m:t>z</m:t>
        </m:r>
      </m:oMath>
      <w:r>
        <w:rPr/>
        <w:t xml:space="preserve"> (figure 4) :</w:t>
      </w:r>
    </w:p>
    <w:p>
      <w:pPr>
        <w:numPr>
          <w:ilvl w:val="0"/>
          <w:numId w:val="3"/>
        </w:numPr>
        <w:spacing w:lineRule="auto"/>
      </w:pPr>
      <m:oMath>
        <m:r>
          <m:rPr>
            <m:sty m:val="i"/>
          </m:rPr>
          <m:t>α</m:t>
        </m:r>
      </m:oMath>
      <w:r>
        <w:rPr>
          <w:rFonts w:eastAsia="Georgia" w:cs="Georgia" w:ascii="Georgia" w:hAnsi="Georgia"/>
        </w:rPr>
        <w:t xml:space="preserve"> repère la direction de l'axe </w:t>
      </w:r>
      <m:oMath>
        <m:sSup>
          <m:sSupPr/>
          <m:e>
            <m:r>
              <m:rPr>
                <m:sty m:val="i"/>
              </m:rPr>
              <m:t>y</m:t>
            </m:r>
          </m:e>
          <m:sup>
            <m:r>
              <m:rPr>
                <m:sty m:val="i"/>
              </m:rPr>
              <m:t>′</m:t>
            </m:r>
          </m:sup>
        </m:sSup>
        <m:r>
          <m:rPr>
            <m:sty m:val="i"/>
          </m:rPr>
          <m:t>y</m:t>
        </m:r>
      </m:oMath>
      <w:r>
        <w:rPr/>
        <w:t xml:space="preserve">;</w:t>
      </w:r>
    </w:p>
    <w:p>
      <w:pPr>
        <w:numPr>
          <w:ilvl w:val="0"/>
          <w:numId w:val="3"/>
        </w:numPr>
        <w:spacing w:lineRule="auto"/>
      </w:pPr>
      <m:oMath>
        <m:r>
          <m:rPr>
            <m:sty m:val="i"/>
          </m:rPr>
          <m:t>θ</m:t>
        </m:r>
      </m:oMath>
      <w:r>
        <w:rPr>
          <w:rFonts w:eastAsia="Georgia" w:cs="Georgia" w:ascii="Georgia" w:hAnsi="Georgia"/>
        </w:rPr>
        <w:t xml:space="preserve"> repère la position angulaire d'un point </w:t>
      </w:r>
      <m:oMath>
        <m:r>
          <m:rPr>
            <m:sty m:val="i"/>
          </m:rPr>
          <m:t>M</m:t>
        </m:r>
      </m:oMath>
      <w:r>
        <w:rPr/>
        <w:t xml:space="preserve"> quelconque.</w:t>
      </w:r>
    </w:p>
    <w:p>
      <w:pPr>
        <w:spacing w:after="220" w:lineRule="auto"/>
      </w:pPr>
      <w:r>
        <w:rPr>
          <w:rFonts w:eastAsia="Georgia" w:cs="Georgia" w:ascii="Georgia" w:hAnsi="Georgia"/>
        </w:rPr>
        <w:t xml:space="preserve">Dans la suite, on s'intéressera surtout aux points </w:t>
      </w:r>
      <m:oMath>
        <m:r>
          <m:rPr>
            <m:sty m:val="i"/>
          </m:rPr>
          <m:t>M</m:t>
        </m:r>
      </m:oMath>
      <w:r>
        <w:rPr>
          <w:rFonts w:eastAsia="Georgia" w:cs="Georgia" w:ascii="Georgia" w:hAnsi="Georgia"/>
        </w:rPr>
        <w:t xml:space="preserve"> situés dans l'entrefer entre la culasse statorique (de rayon intérieur </w:t>
      </w:r>
      <m:oMath>
        <m:r>
          <m:rPr>
            <m:sty m:val="i"/>
          </m:rPr>
          <m:t>a</m:t>
        </m:r>
      </m:oMath>
      <w:r>
        <w:rPr>
          <w:rFonts w:eastAsia="Georgia" w:cs="Georgia" w:ascii="Georgia" w:hAnsi="Georgia"/>
        </w:rPr>
        <w:t xml:space="preserve"> ) et le rotor (de rayon extérieur </w:t>
      </w:r>
      <m:oMath>
        <m:r>
          <m:rPr>
            <m:sty m:val="i"/>
          </m:rPr>
          <m:t>a</m:t>
        </m:r>
        <m:r>
          <m:rPr>
            <m:sty m:val="p"/>
          </m:rPr>
          <m:t>−</m:t>
        </m:r>
        <m:r>
          <m:rPr>
            <m:sty m:val="i"/>
          </m:rPr>
          <m:t>e</m:t>
        </m:r>
      </m:oMath>
      <w:r>
        <w:rPr/>
        <w:t xml:space="preserve"> ), soit tels que </w:t>
      </w:r>
      <m:oMath>
        <m:r>
          <m:rPr>
            <m:sty m:val="i"/>
          </m:rPr>
          <m:t>a</m:t>
        </m:r>
        <m:r>
          <m:rPr>
            <m:sty m:val="p"/>
          </m:rPr>
          <m:t>−</m:t>
        </m:r>
        <m:r>
          <m:rPr>
            <m:sty m:val="i"/>
          </m:rPr>
          <m:t>e</m:t>
        </m:r>
        <m:r>
          <m:rPr>
            <m:sty m:val="p"/>
          </m:rPr>
          <m:t>&lt;</m:t>
        </m:r>
        <m:r>
          <m:rPr>
            <m:sty m:val="i"/>
          </m:rPr>
          <m:t>r</m:t>
        </m:r>
        <m:r>
          <m:rPr>
            <m:sty m:val="p"/>
          </m:rPr>
          <m:t>&lt;</m:t>
        </m:r>
        <m:r>
          <m:rPr>
            <m:sty m:val="i"/>
          </m:rPr>
          <m:t>a</m:t>
        </m:r>
      </m:oMath>
      <w:r>
        <w:rPr/>
        <w:t xml:space="preserve">.</w:t>
      </w:r>
      <w:r>
        <w:rPr/>
        <w:br w:type="textWrapping"/>
      </w:r>
      <w:r>
        <w:rPr/>
        <w:t xml:space="preserve">III.A.1) Rappeler la relation entre </w:t>
      </w:r>
      <m:oMath>
        <m:sSub>
          <m:sSubPr/>
          <m:e>
            <m:acc>
              <m:accPr>
                <m:chr m:val="⃗"/>
              </m:accPr>
              <m:e>
                <m:r>
                  <m:rPr>
                    <m:sty m:val="i"/>
                  </m:rPr>
                  <m:t>B</m:t>
                </m:r>
              </m:e>
            </m:acc>
          </m:e>
          <m:sub>
            <m:r>
              <m:rPr>
                <m:sty m:val="i"/>
              </m:rPr>
              <m:t>r</m:t>
            </m:r>
          </m:sub>
        </m:sSub>
        <m:r>
          <m:rPr>
            <m:sty m:val="p"/>
          </m:rPr>
          <m:t>,</m:t>
        </m:r>
        <m:sSub>
          <m:sSubPr/>
          <m:e>
            <m:acc>
              <m:accPr>
                <m:chr m:val="⃗"/>
              </m:accPr>
              <m:e>
                <m:r>
                  <m:rPr>
                    <m:sty m:val="i"/>
                  </m:rPr>
                  <m:t>H</m:t>
                </m:r>
              </m:e>
            </m:acc>
          </m:e>
          <m:sub>
            <m:r>
              <m:rPr>
                <m:sty m:val="i"/>
              </m:rPr>
              <m:t>r</m:t>
            </m:r>
          </m:sub>
        </m:sSub>
      </m:oMath>
      <w:r>
        <w:rPr/>
        <w:t xml:space="preserve"> et </w:t>
      </w:r>
      <m:oMath>
        <m:sSub>
          <m:sSubPr/>
          <m:e>
            <m:acc>
              <m:accPr>
                <m:chr m:val="⃗"/>
              </m:accPr>
              <m:e>
                <m:r>
                  <m:rPr>
                    <m:sty m:val="i"/>
                  </m:rPr>
                  <m:t>M</m:t>
                </m:r>
              </m:e>
            </m:acc>
          </m:e>
          <m:sub>
            <m:r>
              <m:rPr>
                <m:sty m:val="i"/>
              </m:rPr>
              <m:t>r</m:t>
            </m:r>
          </m:sub>
        </m:sSub>
      </m:oMath>
      <w:r>
        <w:rPr>
          <w:rFonts w:eastAsia="Georgia" w:cs="Georgia" w:ascii="Georgia" w:hAnsi="Georgia"/>
        </w:rPr>
        <w:t xml:space="preserve"> représentant respectivement le vecteur champ magnétique, le vecteur excitation magnétique et le vecteur aimantation du milieu magnétique constitutif du rotor.</w:t>
      </w:r>
      <w:r>
        <w:rPr/>
        <w:br w:type="textWrapping"/>
      </w:r>
      <w:r>
        <w:rPr>
          <w:rFonts w:eastAsia="Georgia" w:cs="Georgia" w:ascii="Georgia" w:hAnsi="Georgia"/>
        </w:rPr>
        <w:t xml:space="preserve">III.A.2) Au sein des aimants permanents, la relation peut s'écrire </w:t>
      </w:r>
      <m:oMath>
        <m:acc>
          <m:accPr>
            <m:chr m:val="⃗"/>
          </m:accPr>
          <m:e>
            <m:r>
              <m:rPr>
                <m:sty m:val="i"/>
              </m:rPr>
              <m:t>B</m:t>
            </m:r>
          </m:e>
        </m:acc>
        <m:r>
          <m:rPr>
            <m:sty m:val="p"/>
          </m:rPr>
          <m:t>=</m:t>
        </m:r>
        <m:sSub>
          <m:sSubPr/>
          <m:e>
            <m:r>
              <m:rPr>
                <m:sty m:val="i"/>
              </m:rPr>
              <m:t>μ</m:t>
            </m:r>
          </m:e>
          <m:sub>
            <m:r>
              <m:rPr>
                <m:sty m:val="p"/>
              </m:rPr>
              <m:t>0</m:t>
            </m:r>
          </m:sub>
        </m:sSub>
        <m:sSub>
          <m:sSubPr/>
          <m:e>
            <m:r>
              <m:rPr>
                <m:sty m:val="i"/>
              </m:rPr>
              <m:t>μ</m:t>
            </m:r>
          </m:e>
          <m:sub>
            <m:r>
              <m:rPr>
                <m:sty m:val="i"/>
              </m:rPr>
              <m:t>p</m:t>
            </m:r>
          </m:sub>
        </m:sSub>
        <m:acc>
          <m:accPr>
            <m:chr m:val="⃗"/>
          </m:accPr>
          <m:e>
            <m:r>
              <m:rPr>
                <m:sty m:val="i"/>
              </m:rPr>
              <m:t>H</m:t>
            </m:r>
          </m:e>
        </m:acc>
        <m:r>
          <m:rPr>
            <m:sty m:val="p"/>
          </m:rPr>
          <m:t>+</m:t>
        </m:r>
        <m:acc>
          <m:accPr>
            <m:chr m:val="⃗"/>
          </m:accPr>
          <m:e>
            <m:r>
              <m:rPr>
                <m:sty m:val="i"/>
              </m:rPr>
              <m:t>J</m:t>
            </m:r>
          </m:e>
        </m:acc>
      </m:oMath>
      <w:r>
        <w:rPr>
          <w:rFonts w:eastAsia="Georgia" w:cs="Georgia" w:ascii="Georgia" w:hAnsi="Georgia"/>
        </w:rPr>
        <w:t xml:space="preserve">, où </w:t>
      </w:r>
      <m:oMath>
        <m:sSub>
          <m:sSubPr/>
          <m:e>
            <m:r>
              <m:rPr>
                <m:sty m:val="i"/>
              </m:rPr>
              <m:t>μ</m:t>
            </m:r>
          </m:e>
          <m:sub>
            <m:r>
              <m:rPr>
                <m:sty m:val="i"/>
              </m:rPr>
              <m:t>p</m:t>
            </m:r>
          </m:sub>
        </m:sSub>
      </m:oMath>
      <w:r>
        <w:rPr>
          <w:rFonts w:eastAsia="Georgia" w:cs="Georgia" w:ascii="Georgia" w:hAnsi="Georgia"/>
        </w:rPr>
        <w:t xml:space="preserve"> est la perméabilité relative de «recul» de l'aimant (légèrement supérieure à l'unité pour les aimants performants) et </w:t>
      </w:r>
      <m:oMath>
        <m:acc>
          <m:accPr>
            <m:chr m:val="⃗"/>
          </m:accPr>
          <m:e>
            <m:r>
              <m:rPr>
                <m:sty m:val="i"/>
              </m:rPr>
              <m:t>J</m:t>
            </m:r>
          </m:e>
        </m:acc>
      </m:oMath>
      <w:r>
        <w:rPr>
          <w:rFonts w:eastAsia="Georgia" w:cs="Georgia" w:ascii="Georgia" w:hAnsi="Georgia"/>
        </w:rPr>
        <w:t xml:space="preserve"> le champ magnétique rémanent de l'aimant. Au passage du milieu aimanté constituant le rotor à l'entrefer, les continuités aboutissent à l'expression suivante des composantes du champ magnétique rotorique</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B</m:t>
                        </m:r>
                      </m:e>
                      <m:sub>
                        <m:r>
                          <m:rPr>
                            <m:sty m:val="i"/>
                          </m:rPr>
                          <m:t>r</m:t>
                        </m:r>
                      </m:sub>
                    </m:sSub>
                    <m:r>
                      <m:rPr>
                        <m:sty m:val="p"/>
                      </m:rPr>
                      <m:t>(</m:t>
                    </m:r>
                    <m:r>
                      <m:rPr>
                        <m:sty m:val="i"/>
                      </m:rPr>
                      <m:t>r</m:t>
                    </m:r>
                    <m:r>
                      <m:rPr>
                        <m:sty m:val="p"/>
                      </m:rPr>
                      <m:t>,</m:t>
                    </m:r>
                    <m:r>
                      <m:rPr>
                        <m:sty m:val="i"/>
                      </m:rPr>
                      <m:t>θ</m:t>
                    </m:r>
                    <m:r>
                      <m:rPr>
                        <m:sty m:val="p"/>
                      </m:rPr>
                      <m:t>)</m:t>
                    </m:r>
                    <m:r>
                      <m:rPr>
                        <m:sty m:val="p"/>
                      </m:rPr>
                      <m:t>=</m:t>
                    </m:r>
                    <m:f>
                      <m:fPr>
                        <m:ctrlPr>
                          <w:rPr>
                            <w:rFonts w:ascii="Cambria Math" w:hAnsi="Cambria Math"/>
                          </w:rPr>
                        </m:ctrlPr>
                      </m:fPr>
                      <m:num>
                        <m:r>
                          <m:rPr>
                            <m:sty m:val="p"/>
                          </m:rPr>
                          <m:t>1</m:t>
                        </m:r>
                      </m:num>
                      <m:den>
                        <m:r>
                          <m:rPr>
                            <m:sty m:val="p"/>
                          </m:rPr>
                          <m:t>2</m:t>
                        </m:r>
                      </m:den>
                    </m:f>
                    <m:sSup>
                      <m:sSupPr/>
                      <m:e>
                        <m:d>
                          <m:dPr>
                            <m:begChr m:val="("/>
                            <m:endChr m:val=")"/>
                            <m:ctrlPr>
                              <w:rPr>
                                <w:rFonts w:ascii="Cambria Math" w:hAnsi="Cambria Math"/>
                              </w:rPr>
                            </m:ctrlPr>
                          </m:dPr>
                          <m:e>
                            <m:r>
                              <m:rPr>
                                <m:sty m:val="p"/>
                              </m:rPr>
                              <m:t>1</m:t>
                            </m:r>
                            <m:r>
                              <m:rPr>
                                <m:sty m:val="p"/>
                              </m:rPr>
                              <m:t>−</m:t>
                            </m:r>
                            <m:sSub>
                              <m:sSubPr/>
                              <m:e>
                                <m:r>
                                  <m:rPr>
                                    <m:sty m:val="i"/>
                                  </m:rPr>
                                  <m:t>x</m:t>
                                </m:r>
                              </m:e>
                              <m:sub>
                                <m:r>
                                  <m:rPr>
                                    <m:sty m:val="i"/>
                                  </m:rPr>
                                  <m:t>e</m:t>
                                </m:r>
                              </m:sub>
                            </m:sSub>
                          </m:e>
                        </m:d>
                      </m:e>
                      <m:sup>
                        <m:r>
                          <m:rPr>
                            <m:sty m:val="p"/>
                          </m:rPr>
                          <m:t>2</m:t>
                        </m:r>
                      </m:sup>
                    </m:sSup>
                    <m:d>
                      <m:dPr>
                        <m:begChr m:val="("/>
                        <m:endChr m:val=")"/>
                        <m:ctrlPr>
                          <w:rPr>
                            <w:rFonts w:ascii="Cambria Math" w:hAnsi="Cambria Math"/>
                          </w:rPr>
                        </m:ctrlPr>
                      </m:dPr>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a</m:t>
                                    </m:r>
                                  </m:num>
                                  <m:den>
                                    <m:r>
                                      <m:rPr>
                                        <m:sty m:val="i"/>
                                      </m:rPr>
                                      <m:t>r</m:t>
                                    </m:r>
                                  </m:den>
                                </m:f>
                              </m:e>
                            </m:d>
                          </m:e>
                          <m:sup>
                            <m:r>
                              <m:rPr>
                                <m:sty m:val="p"/>
                              </m:rPr>
                              <m:t>2</m:t>
                            </m:r>
                          </m:sup>
                        </m:sSup>
                      </m:e>
                    </m:d>
                    <m:r>
                      <m:rPr>
                        <m:sty m:val="i"/>
                      </m:rPr>
                      <m:t>J</m:t>
                    </m:r>
                    <m:r>
                      <m:rPr>
                        <m:sty m:val="p"/>
                      </m:rPr>
                      <m:t>cos</m:t>
                    </m:r>
                    <m:r>
                      <m:rPr>
                        <m:sty m:val="p"/>
                      </m:rPr>
                      <m:t>⁡</m:t>
                    </m:r>
                    <m:r>
                      <m:rPr>
                        <m:sty m:val="p"/>
                      </m:rPr>
                      <m:t>(</m:t>
                    </m:r>
                    <m:r>
                      <m:rPr>
                        <m:sty m:val="i"/>
                      </m:rPr>
                      <m:t>θ</m:t>
                    </m:r>
                    <m:r>
                      <m:rPr>
                        <m:sty m:val="p"/>
                      </m:rPr>
                      <m:t>−</m:t>
                    </m:r>
                    <m:r>
                      <m:rPr>
                        <m:sty m:val="i"/>
                      </m:rPr>
                      <m:t>α</m:t>
                    </m:r>
                    <m:r>
                      <m:rPr>
                        <m:sty m:val="p"/>
                      </m:rPr>
                      <m:t>)</m:t>
                    </m:r>
                  </m:e>
                </m:mr>
                <m:mr>
                  <m:e>
                    <m:sSub>
                      <m:sSubPr/>
                      <m:e>
                        <m:r>
                          <m:rPr>
                            <m:sty m:val="i"/>
                          </m:rPr>
                          <m:t>B</m:t>
                        </m:r>
                      </m:e>
                      <m:sub>
                        <m:r>
                          <m:rPr>
                            <m:sty m:val="i"/>
                          </m:rPr>
                          <m:t>θ</m:t>
                        </m:r>
                      </m:sub>
                    </m:sSub>
                    <m:r>
                      <m:rPr>
                        <m:sty m:val="p"/>
                      </m:rPr>
                      <m:t>(</m:t>
                    </m:r>
                    <m:r>
                      <m:rPr>
                        <m:sty m:val="i"/>
                      </m:rPr>
                      <m:t>r</m:t>
                    </m:r>
                    <m:r>
                      <m:rPr>
                        <m:sty m:val="p"/>
                      </m:rPr>
                      <m:t>,</m:t>
                    </m:r>
                    <m:r>
                      <m:rPr>
                        <m:sty m:val="i"/>
                      </m:rPr>
                      <m:t>θ</m:t>
                    </m:r>
                    <m:r>
                      <m:rPr>
                        <m:sty m:val="p"/>
                      </m:rPr>
                      <m:t>)</m:t>
                    </m:r>
                    <m:r>
                      <m:rPr>
                        <m:sty m:val="p"/>
                      </m:rPr>
                      <m:t>=</m:t>
                    </m:r>
                    <m:r>
                      <m:rPr>
                        <m:sty m:val="p"/>
                      </m:rPr>
                      <m:t>−</m:t>
                    </m:r>
                    <m:f>
                      <m:fPr>
                        <m:ctrlPr>
                          <w:rPr>
                            <w:rFonts w:ascii="Cambria Math" w:hAnsi="Cambria Math"/>
                          </w:rPr>
                        </m:ctrlPr>
                      </m:fPr>
                      <m:num>
                        <m:r>
                          <m:rPr>
                            <m:sty m:val="p"/>
                          </m:rPr>
                          <m:t>1</m:t>
                        </m:r>
                      </m:num>
                      <m:den>
                        <m:r>
                          <m:rPr>
                            <m:sty m:val="p"/>
                          </m:rPr>
                          <m:t>2</m:t>
                        </m:r>
                      </m:den>
                    </m:f>
                    <m:sSup>
                      <m:sSupPr/>
                      <m:e>
                        <m:d>
                          <m:dPr>
                            <m:begChr m:val="("/>
                            <m:endChr m:val=")"/>
                            <m:ctrlPr>
                              <w:rPr>
                                <w:rFonts w:ascii="Cambria Math" w:hAnsi="Cambria Math"/>
                              </w:rPr>
                            </m:ctrlPr>
                          </m:dPr>
                          <m:e>
                            <m:r>
                              <m:rPr>
                                <m:sty m:val="p"/>
                              </m:rPr>
                              <m:t>1</m:t>
                            </m:r>
                            <m:r>
                              <m:rPr>
                                <m:sty m:val="p"/>
                              </m:rPr>
                              <m:t>−</m:t>
                            </m:r>
                            <m:sSub>
                              <m:sSubPr/>
                              <m:e>
                                <m:r>
                                  <m:rPr>
                                    <m:sty m:val="i"/>
                                  </m:rPr>
                                  <m:t>x</m:t>
                                </m:r>
                              </m:e>
                              <m:sub>
                                <m:r>
                                  <m:rPr>
                                    <m:sty m:val="i"/>
                                  </m:rPr>
                                  <m:t>e</m:t>
                                </m:r>
                              </m:sub>
                            </m:sSub>
                          </m:e>
                        </m:d>
                      </m:e>
                      <m:sup>
                        <m:r>
                          <m:rPr>
                            <m:sty m:val="p"/>
                          </m:rPr>
                          <m:t>2</m:t>
                        </m:r>
                      </m:sup>
                    </m:sSup>
                    <m:d>
                      <m:dPr>
                        <m:begChr m:val="("/>
                        <m:endChr m:val=")"/>
                        <m:ctrlPr>
                          <w:rPr>
                            <w:rFonts w:ascii="Cambria Math" w:hAnsi="Cambria Math"/>
                          </w:rPr>
                        </m:ctrlPr>
                      </m:dPr>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a</m:t>
                                    </m:r>
                                  </m:num>
                                  <m:den>
                                    <m:r>
                                      <m:rPr>
                                        <m:sty m:val="i"/>
                                      </m:rPr>
                                      <m:t>r</m:t>
                                    </m:r>
                                  </m:den>
                                </m:f>
                              </m:e>
                            </m:d>
                          </m:e>
                          <m:sup>
                            <m:r>
                              <m:rPr>
                                <m:sty m:val="p"/>
                              </m:rPr>
                              <m:t>2</m:t>
                            </m:r>
                          </m:sup>
                        </m:sSup>
                      </m:e>
                    </m:d>
                    <m:r>
                      <m:rPr>
                        <m:sty m:val="i"/>
                      </m:rPr>
                      <m:t>J</m:t>
                    </m:r>
                    <m:r>
                      <m:rPr>
                        <m:sty m:val="p"/>
                      </m:rPr>
                      <m:t>sin</m:t>
                    </m:r>
                    <m:r>
                      <m:rPr>
                        <m:sty m:val="p"/>
                      </m:rPr>
                      <m:t>⁡</m:t>
                    </m:r>
                    <m:r>
                      <m:rPr>
                        <m:sty m:val="p"/>
                      </m:rPr>
                      <m:t>(</m:t>
                    </m:r>
                    <m:r>
                      <m:rPr>
                        <m:sty m:val="i"/>
                      </m:rPr>
                      <m:t>θ</m:t>
                    </m:r>
                    <m:r>
                      <m:rPr>
                        <m:sty m:val="p"/>
                      </m:rPr>
                      <m:t>−</m:t>
                    </m:r>
                    <m:r>
                      <m:rPr>
                        <m:sty m:val="i"/>
                      </m:rPr>
                      <m:t>α</m:t>
                    </m:r>
                    <m:r>
                      <m:rPr>
                        <m:sty m:val="p"/>
                      </m:rPr>
                      <m:t>)</m:t>
                    </m:r>
                  </m:e>
                </m:mr>
              </m:m>
            </m:e>
          </m:d>
        </m:oMath>
      </m:oMathPara>
    </w:p>
    <w:p>
      <w:pPr>
        <w:spacing w:after="220" w:lineRule="auto"/>
      </w:pPr>
      <w:r>
        <w:rPr/>
        <w:t xml:space="preserve">pour </w:t>
      </w:r>
      <m:oMath>
        <m:r>
          <m:rPr>
            <m:sty m:val="i"/>
          </m:rPr>
          <m:t>a</m:t>
        </m:r>
        <m:r>
          <m:rPr>
            <m:sty m:val="p"/>
          </m:rPr>
          <m:t>−</m:t>
        </m:r>
        <m:r>
          <m:rPr>
            <m:sty m:val="i"/>
          </m:rPr>
          <m:t>e</m:t>
        </m:r>
        <m:r>
          <m:rPr>
            <m:sty m:val="p"/>
          </m:rPr>
          <m:t>&lt;</m:t>
        </m:r>
        <m:r>
          <m:rPr>
            <m:sty m:val="i"/>
          </m:rPr>
          <m:t>r</m:t>
        </m:r>
        <m:r>
          <m:rPr>
            <m:sty m:val="p"/>
          </m:rPr>
          <m:t>&lt;</m:t>
        </m:r>
        <m:r>
          <m:rPr>
            <m:sty m:val="i"/>
          </m:rPr>
          <m:t>a</m:t>
        </m:r>
      </m:oMath>
      <w:r>
        <w:rPr/>
        <w:t xml:space="preserve"> et </w:t>
      </w:r>
      <m:oMath>
        <m:sSub>
          <m:sSubPr/>
          <m:e>
            <m:r>
              <m:rPr>
                <m:sty m:val="i"/>
              </m:rPr>
              <m:t>x</m:t>
            </m:r>
          </m:e>
          <m:sub>
            <m:r>
              <m:rPr>
                <m:sty m:val="i"/>
              </m:rPr>
              <m:t>e</m:t>
            </m:r>
          </m:sub>
        </m:sSub>
        <m:r>
          <m:rPr>
            <m:sty m:val="p"/>
          </m:rPr>
          <m:t>=</m:t>
        </m:r>
        <m:f>
          <m:fPr>
            <m:ctrlPr>
              <w:rPr>
                <w:rFonts w:ascii="Cambria Math" w:hAnsi="Cambria Math"/>
              </w:rPr>
            </m:ctrlPr>
          </m:fPr>
          <m:num>
            <m:r>
              <m:rPr>
                <m:sty m:val="i"/>
              </m:rPr>
              <m:t>e</m:t>
            </m:r>
          </m:num>
          <m:den>
            <m:r>
              <m:rPr>
                <m:sty m:val="i"/>
              </m:rPr>
              <m:t>a</m:t>
            </m:r>
          </m:den>
        </m:f>
      </m:oMath>
      <w:r>
        <w:rPr/>
        <w:t xml:space="preserve">.</w:t>
      </w:r>
      <w:r>
        <w:rPr/>
        <w:br w:type="textWrapping"/>
      </w:r>
      <w:r>
        <w:rPr/>
        <w:t xml:space="preserve">Sachant que l'entrefer avoisine </w:t>
      </w:r>
      <m:oMath>
        <m:r>
          <m:rPr>
            <m:sty m:val="i"/>
          </m:rPr>
          <m:t>e</m:t>
        </m:r>
        <m:r>
          <m:rPr>
            <m:sty m:val="p"/>
          </m:rPr>
          <m:t>=</m:t>
        </m:r>
        <m:r>
          <m:rPr>
            <m:sty m:val="p"/>
          </m:rPr>
          <m:t>3</m:t>
        </m:r>
        <m:r>
          <m:rPr>
            <m:nor/>
          </m:rPr>
          <m:t xml:space="preserve"> </m:t>
        </m:r>
        <m:r>
          <m:rPr>
            <m:sty m:val="p"/>
          </m:rPr>
          <m:t>mm</m:t>
        </m:r>
      </m:oMath>
      <w:r>
        <w:rPr>
          <w:rFonts w:eastAsia="Georgia" w:cs="Georgia" w:ascii="Georgia" w:hAnsi="Georgia"/>
        </w:rPr>
        <w:t xml:space="preserve"> et l'alésage </w:t>
      </w:r>
      <m:oMath>
        <m:r>
          <m:rPr>
            <m:sty m:val="i"/>
          </m:rPr>
          <m:t>a</m:t>
        </m:r>
        <m:r>
          <m:rPr>
            <m:sty m:val="p"/>
          </m:rPr>
          <m:t>=</m:t>
        </m:r>
        <m:r>
          <m:rPr>
            <m:sty m:val="p"/>
          </m:rPr>
          <m:t>15</m:t>
        </m:r>
        <m:r>
          <m:rPr>
            <m:nor/>
          </m:rPr>
          <m:t xml:space="preserve"> </m:t>
        </m:r>
        <m:r>
          <m:rPr>
            <m:sty m:val="p"/>
          </m:rPr>
          <m:t>cm</m:t>
        </m:r>
      </m:oMath>
      <w:r>
        <w:rPr>
          <w:rFonts w:eastAsia="Georgia" w:cs="Georgia" w:ascii="Georgia" w:hAnsi="Georgia"/>
        </w:rPr>
        <w:t xml:space="preserve">, on considère un champ magnétique d'entrefer indépendant de </w:t>
      </w:r>
      <m:oMath>
        <m:r>
          <m:rPr>
            <m:sty m:val="i"/>
          </m:rPr>
          <m:t>r</m:t>
        </m:r>
      </m:oMath>
      <w:r>
        <w:rPr>
          <w:rFonts w:eastAsia="Georgia" w:cs="Georgia" w:ascii="Georgia" w:hAnsi="Georgia"/>
        </w:rPr>
        <w:t xml:space="preserve">. En déduire l'expression approchée du champ magnétique rotorique.</w:t>
      </w:r>
      <w:r>
        <w:rPr/>
        <w:br w:type="textWrapping"/>
      </w:r>
      <w:r>
        <w:rPr/>
        <w:t xml:space="preserve">III.A.3) On note </w:t>
      </w:r>
      <m:oMath>
        <m:r>
          <m:rPr>
            <m:sty m:val="p"/>
          </m:rPr>
          <m:t>Ω</m:t>
        </m:r>
      </m:oMath>
      <w:r>
        <w:rPr>
          <w:rFonts w:eastAsia="Georgia" w:cs="Georgia" w:ascii="Georgia" w:hAnsi="Georgia"/>
        </w:rPr>
        <w:t xml:space="preserve"> la vitesse angulaire constante du rotor dans le référentiel fixe du stator et on prend </w:t>
      </w:r>
      <m:oMath>
        <m:r>
          <m:rPr>
            <m:sty m:val="i"/>
          </m:rPr>
          <m:t>α</m:t>
        </m:r>
        <m:r>
          <m:rPr>
            <m:sty m:val="p"/>
          </m:rPr>
          <m:t>=</m:t>
        </m:r>
        <m:sSub>
          <m:sSubPr/>
          <m:e>
            <m:r>
              <m:rPr>
                <m:sty m:val="i"/>
              </m:rPr>
              <m:t>α</m:t>
            </m:r>
          </m:e>
          <m:sub>
            <m:r>
              <m:rPr>
                <m:sty m:val="i"/>
              </m:rPr>
              <m:t>r</m:t>
            </m:r>
            <m:r>
              <m:rPr>
                <m:sty m:val="i"/>
              </m:rPr>
              <m:t>s</m:t>
            </m:r>
          </m:sub>
        </m:sSub>
      </m:oMath>
      <w:r>
        <w:rPr>
          <w:rFonts w:eastAsia="Georgia" w:cs="Georgia" w:ascii="Georgia" w:hAnsi="Georgia"/>
        </w:rPr>
        <w:t xml:space="preserve"> nul à l'instant initial. Réécrire l'expression simplifiée du champ magnétique rotorique à un instant </w:t>
      </w:r>
      <m:oMath>
        <m:r>
          <m:rPr>
            <m:sty m:val="i"/>
          </m:rPr>
          <m:t>t</m:t>
        </m:r>
      </m:oMath>
      <w:r>
        <w:rPr/>
        <w:t xml:space="preserve"> en un point </w:t>
      </w:r>
      <m:oMath>
        <m:r>
          <m:rPr>
            <m:sty m:val="i"/>
          </m:rPr>
          <m:t>M</m:t>
        </m:r>
      </m:oMath>
      <w:r>
        <w:rPr/>
        <w:t xml:space="preserve"> de position angulaire </w:t>
      </w:r>
      <m:oMath>
        <m:r>
          <m:rPr>
            <m:sty m:val="i"/>
          </m:rPr>
          <m:t>θ</m:t>
        </m:r>
      </m:oMath>
      <w:r>
        <w:rPr/>
        <w:t xml:space="preserve"> dans l'entrefer.</w:t>
      </w:r>
      <w:r>
        <w:rPr/>
        <w:br w:type="textWrapping"/>
      </w:r>
      <w:r>
        <w:rPr>
          <w:rFonts w:eastAsia="Georgia" w:cs="Georgia" w:ascii="Georgia" w:hAnsi="Georgia"/>
        </w:rPr>
        <w:t xml:space="preserve">Donner l'allure de la composante radiale du champ rotorique ressenti à l'instant </w:t>
      </w:r>
      <m:oMath>
        <m:r>
          <m:rPr>
            <m:sty m:val="i"/>
          </m:rPr>
          <m:t>t</m:t>
        </m:r>
      </m:oMath>
      <w:r>
        <w:rPr/>
        <w:t xml:space="preserve"> dans l'entrefer dans la direction </w:t>
      </w:r>
      <m:oMath>
        <m:r>
          <m:rPr>
            <m:sty m:val="i"/>
          </m:rPr>
          <m:t>θ</m:t>
        </m:r>
        <m:r>
          <m:rPr>
            <m:sty m:val="p"/>
          </m:rPr>
          <m:t>=</m:t>
        </m:r>
        <m:r>
          <m:rPr>
            <m:sty m:val="i"/>
          </m:rPr>
          <m:t>π</m:t>
        </m:r>
        <m:r>
          <m:rPr>
            <m:sty m:val="p"/>
          </m:rPr>
          <m:t>/</m:t>
        </m:r>
        <m:r>
          <m:rPr>
            <m:sty m:val="p"/>
          </m:rPr>
          <m:t>2</m:t>
        </m:r>
      </m:oMath>
      <w:r>
        <w:rPr/>
        <w:t xml:space="preserve">.</w:t>
      </w:r>
    </w:p>
    <w:p>
      <w:pPr>
        <w:spacing w:lineRule="auto"/>
        <w:jc w:val="center"/>
      </w:pPr>
      <w:r>
        <w:rPr/>
        <w:drawing>
          <wp:inline distB="0" distL="0" distR="0" distT="0">
            <wp:extent cx="5486400" cy="2013857"/>
            <wp:effectExtent b="0" l="0" r="0" t="0"/>
            <wp:docPr id="4" name="image-4ad96721cf2944b374aa06435578651fb82e9861.jpg"/>
            <a:graphic>
              <a:graphicData uri="http://schemas.openxmlformats.org/drawingml/2006/picture">
                <pic:pic>
                  <pic:nvPicPr>
                    <pic:cNvPr id="4" name="image-4ad96721cf2944b374aa06435578651fb82e9861.jpg" descr=""/>
                    <pic:cNvPicPr/>
                  </pic:nvPicPr>
                  <pic:blipFill>
                    <a:blip r:embed="rId8" cstate="print"/>
                    <a:srcRect b="0" l="0" r="0" t="0"/>
                    <a:stretch>
                      <a:fillRect/>
                    </a:stretch>
                  </pic:blipFill>
                  <pic:spPr>
                    <a:xfrm>
                      <a:off x="0" y="0"/>
                      <a:ext cx="5486400" cy="2013857"/>
                    </a:xfrm>
                    <a:prstGeom prst="rect"/>
                  </pic:spPr>
                </pic:pic>
              </a:graphicData>
            </a:graphic>
          </wp:inline>
        </w:drawing>
      </w:r>
    </w:p>
    <w:p>
      <w:pPr>
        <w:spacing w:lineRule="auto"/>
      </w:pPr>
      <w:r>
        <w:rPr/>
        <w:t xml:space="preserve">Figure 4</w:t>
      </w:r>
    </w:p>
    <w:p>
      <w:pPr>
        <w:spacing w:line="271" w:before="330" w:lineRule="auto"/>
      </w:pPr>
      <w:r>
        <w:rPr>
          <w:rFonts w:eastAsia="Georgia" w:cs="Georgia" w:ascii="Georgia" w:hAnsi="Georgia"/>
          <w:b/>
          <w:sz w:val="42"/>
        </w:rPr>
        <w:t xml:space="preserve">III.B - Champ magnétique statorique</w:t>
      </w:r>
    </w:p>
    <w:p>
      <w:pPr>
        <w:spacing w:after="220" w:lineRule="auto"/>
      </w:pPr>
      <w:r>
        <w:rPr>
          <w:rFonts w:eastAsia="Georgia" w:cs="Georgia" w:ascii="Georgia" w:hAnsi="Georgia"/>
        </w:rPr>
        <w:t xml:space="preserve">On cherche alors à réaliser un champ magnétique statorique </w:t>
      </w:r>
      <m:oMath>
        <m:sSub>
          <m:sSubPr/>
          <m:e>
            <m:acc>
              <m:accPr>
                <m:chr m:val="⃗"/>
              </m:accPr>
              <m:e>
                <m:r>
                  <m:rPr>
                    <m:sty m:val="i"/>
                  </m:rPr>
                  <m:t>B</m:t>
                </m:r>
              </m:e>
            </m:acc>
          </m:e>
          <m:sub>
            <m:r>
              <m:rPr>
                <m:sty m:val="i"/>
              </m:rPr>
              <m:t>s</m:t>
            </m:r>
          </m:sub>
        </m:sSub>
      </m:oMath>
      <w:r>
        <w:rPr>
          <w:rFonts w:eastAsia="Georgia" w:cs="Georgia" w:ascii="Georgia" w:hAnsi="Georgia"/>
        </w:rPr>
        <w:t xml:space="preserve"> tournant à vitesse angulaire constante </w:t>
      </w:r>
      <m:oMath>
        <m:sSub>
          <m:sSubPr/>
          <m:e>
            <m:r>
              <m:rPr>
                <m:sty m:val="i"/>
              </m:rPr>
              <m:t>ω</m:t>
            </m:r>
          </m:e>
          <m:sub>
            <m:r>
              <m:rPr>
                <m:sty m:val="i"/>
              </m:rPr>
              <m:t>s</m:t>
            </m:r>
          </m:sub>
        </m:sSub>
        <m:r>
          <m:rPr>
            <m:sty m:val="p"/>
          </m:rPr>
          <m:t>&gt;</m:t>
        </m:r>
        <m:r>
          <m:rPr>
            <m:sty m:val="p"/>
          </m:rPr>
          <m:t>0</m:t>
        </m:r>
      </m:oMath>
      <w:r>
        <w:rPr>
          <w:rFonts w:eastAsia="Georgia" w:cs="Georgia" w:ascii="Georgia" w:hAnsi="Georgia"/>
        </w:rPr>
        <w:t xml:space="preserve"> (donc dans le sens direct) grâce à une implantation particulière de spires dans les encoches du stator. Pour cela, nous utiliserons deux enroulements porteurs de courants déphasés de </w:t>
      </w:r>
      <m:oMath>
        <m:r>
          <m:rPr>
            <m:sty m:val="i"/>
          </m:rPr>
          <m:t>π</m:t>
        </m:r>
        <m:r>
          <m:rPr>
            <m:sty m:val="p"/>
          </m:rPr>
          <m:t>/</m:t>
        </m:r>
        <m:r>
          <m:rPr>
            <m:sty m:val="p"/>
          </m:rPr>
          <m:t>2</m:t>
        </m:r>
      </m:oMath>
      <w:r>
        <w:rPr/>
        <w:t xml:space="preserv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i</m:t>
                        </m:r>
                      </m:e>
                      <m:sub>
                        <m:r>
                          <m:rPr>
                            <m:sty m:val="p"/>
                          </m:rPr>
                          <m:t>1</m:t>
                        </m:r>
                      </m:sub>
                    </m:sSub>
                    <m:r>
                      <m:rPr>
                        <m:sty m:val="p"/>
                      </m:rPr>
                      <m:t>(</m:t>
                    </m:r>
                    <m:r>
                      <m:rPr>
                        <m:sty m:val="i"/>
                      </m:rPr>
                      <m:t>t</m:t>
                    </m:r>
                    <m:r>
                      <m:rPr>
                        <m:sty m:val="p"/>
                      </m:rPr>
                      <m:t>)</m:t>
                    </m:r>
                    <m:r>
                      <m:rPr>
                        <m:sty m:val="p"/>
                      </m:rPr>
                      <m:t>=</m:t>
                    </m:r>
                    <m:r>
                      <m:rPr>
                        <m:sty m:val="i"/>
                      </m:rPr>
                      <m:t>I</m:t>
                    </m:r>
                    <m:r>
                      <m:rPr>
                        <m:sty m:val="p"/>
                      </m:rPr>
                      <m:t>cos</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r>
                          <m:rPr>
                            <m:sty m:val="p"/>
                          </m:rPr>
                          <m:t>+</m:t>
                        </m:r>
                        <m:sSub>
                          <m:sSubPr/>
                          <m:e>
                            <m:r>
                              <m:rPr>
                                <m:sty m:val="i"/>
                              </m:rPr>
                              <m:t>β</m:t>
                            </m:r>
                          </m:e>
                          <m:sub>
                            <m:r>
                              <m:rPr>
                                <m:sty m:val="i"/>
                              </m:rPr>
                              <m:t>s</m:t>
                            </m:r>
                          </m:sub>
                        </m:sSub>
                      </m:e>
                    </m:d>
                  </m:e>
                </m:mr>
                <m:mr>
                  <m:e>
                    <m:sSub>
                      <m:sSubPr/>
                      <m:e>
                        <m:r>
                          <m:rPr>
                            <m:sty m:val="i"/>
                          </m:rPr>
                          <m:t>i</m:t>
                        </m:r>
                      </m:e>
                      <m:sub>
                        <m:r>
                          <m:rPr>
                            <m:sty m:val="p"/>
                          </m:rPr>
                          <m:t>2</m:t>
                        </m:r>
                      </m:sub>
                    </m:sSub>
                    <m:r>
                      <m:rPr>
                        <m:sty m:val="p"/>
                      </m:rPr>
                      <m:t>(</m:t>
                    </m:r>
                    <m:r>
                      <m:rPr>
                        <m:sty m:val="i"/>
                      </m:rPr>
                      <m:t>t</m:t>
                    </m:r>
                    <m:r>
                      <m:rPr>
                        <m:sty m:val="p"/>
                      </m:rPr>
                      <m:t>)</m:t>
                    </m:r>
                    <m:r>
                      <m:rPr>
                        <m:sty m:val="p"/>
                      </m:rPr>
                      <m:t>=</m:t>
                    </m:r>
                    <m:r>
                      <m:rPr>
                        <m:sty m:val="i"/>
                      </m:rPr>
                      <m:t>I</m:t>
                    </m:r>
                    <m:r>
                      <m:rPr>
                        <m:sty m:val="p"/>
                      </m:rPr>
                      <m:t>cos</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r>
                          <m:rPr>
                            <m:sty m:val="p"/>
                          </m:rPr>
                          <m:t>+</m:t>
                        </m:r>
                        <m:sSub>
                          <m:sSubPr/>
                          <m:e>
                            <m:r>
                              <m:rPr>
                                <m:sty m:val="i"/>
                              </m:rPr>
                              <m:t>β</m:t>
                            </m:r>
                          </m:e>
                          <m:sub>
                            <m:r>
                              <m:rPr>
                                <m:sty m:val="i"/>
                              </m:rPr>
                              <m:t>s</m:t>
                            </m:r>
                          </m:sub>
                        </m:sSub>
                        <m:r>
                          <m:rPr>
                            <m:sty m:val="p"/>
                          </m:rPr>
                          <m:t>+</m:t>
                        </m:r>
                        <m:r>
                          <m:rPr>
                            <m:sty m:val="i"/>
                          </m:rPr>
                          <m:t>π</m:t>
                        </m:r>
                        <m:r>
                          <m:rPr>
                            <m:sty m:val="p"/>
                          </m:rPr>
                          <m:t>/</m:t>
                        </m:r>
                        <m:r>
                          <m:rPr>
                            <m:sty m:val="p"/>
                          </m:rPr>
                          <m:t>2</m:t>
                        </m:r>
                      </m:e>
                    </m:d>
                  </m:e>
                </m:mr>
              </m:m>
            </m:e>
          </m:d>
        </m:oMath>
      </m:oMathPara>
    </w:p>
    <w:p>
      <w:pPr>
        <w:spacing w:after="220" w:lineRule="auto"/>
      </w:pPr>
      <w:r>
        <w:rPr>
          <w:rFonts w:eastAsia="Georgia" w:cs="Georgia" w:ascii="Georgia" w:hAnsi="Georgia"/>
        </w:rPr>
        <w:t xml:space="preserve">Dans un premier temps, une seule paire d'encoches, située sur l'axe perpendiculaire à </w:t>
      </w:r>
      <m:oMath>
        <m:sSup>
          <m:sSupPr/>
          <m:e>
            <m:r>
              <m:rPr>
                <m:sty m:val="i"/>
              </m:rPr>
              <m:t>x</m:t>
            </m:r>
          </m:e>
          <m:sup>
            <m:r>
              <m:rPr>
                <m:sty m:val="i"/>
              </m:rPr>
              <m:t>′</m:t>
            </m:r>
          </m:sup>
        </m:sSup>
        <m:r>
          <m:rPr>
            <m:sty m:val="i"/>
          </m:rPr>
          <m:t>x</m:t>
        </m:r>
      </m:oMath>
      <w:r>
        <w:rPr>
          <w:rFonts w:eastAsia="Georgia" w:cs="Georgia" w:ascii="Georgia" w:hAnsi="Georgia"/>
        </w:rPr>
        <w:t xml:space="preserve"> (figure 5) est bobinée et parcourue par le courant d'intensité </w:t>
      </w:r>
      <m:oMath>
        <m:sSub>
          <m:sSubPr/>
          <m:e>
            <m:r>
              <m:rPr>
                <m:sty m:val="i"/>
              </m:rPr>
              <m:t>i</m:t>
            </m:r>
          </m:e>
          <m:sub>
            <m:r>
              <m:rPr>
                <m:sty m:val="p"/>
              </m:rPr>
              <m:t>1</m:t>
            </m:r>
          </m:sub>
        </m:sSub>
        <m:r>
          <m:rPr>
            <m:sty m:val="p"/>
          </m:rPr>
          <m:t>(</m:t>
        </m:r>
        <m:r>
          <m:rPr>
            <m:sty m:val="i"/>
          </m:rPr>
          <m:t>t</m:t>
        </m:r>
        <m:r>
          <m:rPr>
            <m:sty m:val="p"/>
          </m:rPr>
          <m:t>)</m:t>
        </m:r>
      </m:oMath>
      <w:r>
        <w:rPr>
          <w:rFonts w:eastAsia="Georgia" w:cs="Georgia" w:ascii="Georgia" w:hAnsi="Georgia"/>
        </w:rPr>
        <w:t xml:space="preserve">. On cherche à déterminer le champ </w:t>
      </w:r>
      <m:oMath>
        <m:sSub>
          <m:sSubPr/>
          <m:e>
            <m:acc>
              <m:accPr>
                <m:chr m:val="⃗"/>
              </m:accPr>
              <m:e>
                <m:r>
                  <m:rPr>
                    <m:sty m:val="i"/>
                  </m:rPr>
                  <m:t>B</m:t>
                </m:r>
              </m:e>
            </m:acc>
          </m:e>
          <m:sub>
            <m:r>
              <m:rPr>
                <m:sty m:val="i"/>
              </m:rPr>
              <m:t>s</m:t>
            </m:r>
            <m:r>
              <m:rPr>
                <m:sty m:val="p"/>
              </m:rPr>
              <m:t>1</m:t>
            </m:r>
          </m:sub>
        </m:sSub>
      </m:oMath>
      <w:r>
        <w:rPr/>
        <w:t xml:space="preserve"> en tout point </w:t>
      </w:r>
      <m:oMath>
        <m:r>
          <m:rPr>
            <m:sty m:val="i"/>
          </m:rPr>
          <m:t>M</m:t>
        </m:r>
      </m:oMath>
      <w:r>
        <w:rPr/>
        <w:t xml:space="preserve"> de l'entrefer.</w:t>
      </w:r>
    </w:p>
    <w:p>
      <w:pPr>
        <w:spacing w:lineRule="auto"/>
        <w:jc w:val="center"/>
      </w:pPr>
      <w:r>
        <w:rPr/>
        <w:drawing>
          <wp:inline distB="0" distL="0" distR="0" distT="0">
            <wp:extent cx="5486400" cy="4851809"/>
            <wp:effectExtent b="0" l="0" r="0" t="0"/>
            <wp:docPr id="5" name="image-b181e784f0448d91732af52146e8cf4b4002f3af.jpg"/>
            <a:graphic>
              <a:graphicData uri="http://schemas.openxmlformats.org/drawingml/2006/picture">
                <pic:pic>
                  <pic:nvPicPr>
                    <pic:cNvPr id="5" name="image-b181e784f0448d91732af52146e8cf4b4002f3af.jpg" descr=""/>
                    <pic:cNvPicPr/>
                  </pic:nvPicPr>
                  <pic:blipFill>
                    <a:blip r:embed="rId9" cstate="print"/>
                    <a:srcRect b="0" l="0" r="0" t="0"/>
                    <a:stretch>
                      <a:fillRect/>
                    </a:stretch>
                  </pic:blipFill>
                  <pic:spPr>
                    <a:xfrm>
                      <a:off x="0" y="0"/>
                      <a:ext cx="5486400" cy="4851809"/>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III.B.1) En utilisant le schéma de la figure 5, les symétries et la circulation du vecteur excitation magnétique, montrer que</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acc>
                          <m:accPr>
                            <m:chr m:val="⃗"/>
                          </m:accPr>
                          <m:e>
                            <m:r>
                              <m:rPr>
                                <m:sty m:val="i"/>
                              </m:rPr>
                              <m:t>B</m:t>
                            </m:r>
                          </m:e>
                        </m:acc>
                      </m:e>
                      <m:sub>
                        <m:r>
                          <m:rPr>
                            <m:sty m:val="i"/>
                          </m:rPr>
                          <m:t>s</m:t>
                        </m:r>
                        <m:r>
                          <m:rPr>
                            <m:sty m:val="p"/>
                          </m:rPr>
                          <m:t>1</m:t>
                        </m:r>
                      </m:sub>
                    </m:sSub>
                    <m:r>
                      <m:rPr>
                        <m:sty m:val="p"/>
                      </m:rPr>
                      <m:t>(</m:t>
                    </m:r>
                    <m:r>
                      <m:rPr>
                        <m:sty m:val="i"/>
                      </m:rPr>
                      <m:t>r</m:t>
                    </m:r>
                    <m:r>
                      <m:rPr>
                        <m:sty m:val="p"/>
                      </m:rPr>
                      <m:t>,</m:t>
                    </m:r>
                    <m:r>
                      <m:rPr>
                        <m:sty m:val="i"/>
                      </m:rPr>
                      <m:t>θ</m:t>
                    </m:r>
                    <m:r>
                      <m:rPr>
                        <m:sty m:val="p"/>
                      </m:rPr>
                      <m:t>,</m:t>
                    </m:r>
                    <m:r>
                      <m:rPr>
                        <m:sty m:val="i"/>
                      </m:rPr>
                      <m:t>t</m:t>
                    </m:r>
                    <m:r>
                      <m:rPr>
                        <m:sty m:val="p"/>
                      </m:rPr>
                      <m:t>)</m:t>
                    </m:r>
                    <m:r>
                      <m:rPr>
                        <m:sty m:val="p"/>
                      </m:rPr>
                      <m:t>=</m:t>
                    </m:r>
                    <m:f>
                      <m:fPr>
                        <m:ctrlPr>
                          <w:rPr>
                            <w:rFonts w:ascii="Cambria Math" w:hAnsi="Cambria Math"/>
                          </w:rPr>
                        </m:ctrlPr>
                      </m:fPr>
                      <m:num>
                        <m:sSub>
                          <m:sSubPr/>
                          <m:e>
                            <m:r>
                              <m:rPr>
                                <m:sty m:val="i"/>
                              </m:rPr>
                              <m:t>μ</m:t>
                            </m:r>
                          </m:e>
                          <m:sub>
                            <m:r>
                              <m:rPr>
                                <m:sty m:val="p"/>
                              </m:rPr>
                              <m:t>0</m:t>
                            </m:r>
                          </m:sub>
                        </m:sSub>
                        <m:sSub>
                          <m:sSubPr/>
                          <m:e>
                            <m:r>
                              <m:rPr>
                                <m:sty m:val="i"/>
                              </m:rPr>
                              <m:t>i</m:t>
                            </m:r>
                          </m:e>
                          <m:sub>
                            <m:r>
                              <m:rPr>
                                <m:sty m:val="p"/>
                              </m:rPr>
                              <m:t>1</m:t>
                            </m:r>
                          </m:sub>
                        </m:sSub>
                        <m:r>
                          <m:rPr>
                            <m:sty m:val="p"/>
                          </m:rPr>
                          <m:t>(</m:t>
                        </m:r>
                        <m:r>
                          <m:rPr>
                            <m:sty m:val="i"/>
                          </m:rPr>
                          <m:t>t</m:t>
                        </m:r>
                        <m:r>
                          <m:rPr>
                            <m:sty m:val="p"/>
                          </m:rPr>
                          <m:t>)</m:t>
                        </m:r>
                      </m:num>
                      <m:den>
                        <m:r>
                          <m:rPr>
                            <m:sty m:val="p"/>
                          </m:rPr>
                          <m:t>2</m:t>
                        </m:r>
                        <m:r>
                          <m:rPr>
                            <m:sty m:val="i"/>
                          </m:rPr>
                          <m:t>e</m:t>
                        </m:r>
                      </m:den>
                    </m:f>
                    <m:sSub>
                      <m:sSubPr/>
                      <m:e>
                        <m:acc>
                          <m:accPr>
                            <m:chr m:val="⃗"/>
                          </m:accPr>
                          <m:e>
                            <m:r>
                              <m:rPr>
                                <m:sty m:val="i"/>
                              </m:rPr>
                              <m:t>u</m:t>
                            </m:r>
                          </m:e>
                        </m:acc>
                      </m:e>
                      <m:sub>
                        <m:r>
                          <m:rPr>
                            <m:sty m:val="i"/>
                          </m:rPr>
                          <m:t>r</m:t>
                        </m:r>
                      </m:sub>
                    </m:sSub>
                  </m:e>
                  <m:e>
                    <m:r>
                      <m:rPr>
                        <m:nor/>
                      </m:rPr>
                      <m:t> pour </m:t>
                    </m:r>
                    <m:r>
                      <m:rPr>
                        <m:sty m:val="i"/>
                      </m:rPr>
                      <m:t>θ</m:t>
                    </m:r>
                    <m:r>
                      <m:rPr>
                        <m:sty m:val="p"/>
                      </m:rPr>
                      <m:t>∈</m:t>
                    </m:r>
                    <m:r>
                      <m:rPr>
                        <m:sty m:val="p"/>
                      </m:rPr>
                      <m:t>]</m:t>
                    </m:r>
                    <m:r>
                      <m:rPr>
                        <m:sty m:val="p"/>
                      </m:rPr>
                      <m:t>−</m:t>
                    </m:r>
                    <m:r>
                      <m:rPr>
                        <m:sty m:val="i"/>
                      </m:rPr>
                      <m:t>π</m:t>
                    </m:r>
                    <m:r>
                      <m:rPr>
                        <m:sty m:val="p"/>
                      </m:rPr>
                      <m:t>/</m:t>
                    </m:r>
                    <m:r>
                      <m:rPr>
                        <m:sty m:val="p"/>
                      </m:rPr>
                      <m:t>2</m:t>
                    </m:r>
                    <m:r>
                      <m:rPr>
                        <m:sty m:val="p"/>
                      </m:rPr>
                      <m:t>,</m:t>
                    </m:r>
                    <m:r>
                      <m:rPr>
                        <m:sty m:val="i"/>
                      </m:rPr>
                      <m:t>π</m:t>
                    </m:r>
                    <m:r>
                      <m:rPr>
                        <m:sty m:val="p"/>
                      </m:rPr>
                      <m:t>/</m:t>
                    </m:r>
                    <m:r>
                      <m:rPr>
                        <m:sty m:val="p"/>
                      </m:rPr>
                      <m:t>2</m:t>
                    </m:r>
                    <m:r>
                      <m:rPr>
                        <m:sty m:val="p"/>
                      </m:rPr>
                      <m:t>[</m:t>
                    </m:r>
                  </m:e>
                </m:mr>
                <m:mr>
                  <m:e>
                    <m:sSub>
                      <m:sSubPr/>
                      <m:e>
                        <m:acc>
                          <m:accPr>
                            <m:chr m:val="⃗"/>
                          </m:accPr>
                          <m:e>
                            <m:r>
                              <m:rPr>
                                <m:sty m:val="i"/>
                              </m:rPr>
                              <m:t>B</m:t>
                            </m:r>
                          </m:e>
                        </m:acc>
                      </m:e>
                      <m:sub>
                        <m:r>
                          <m:rPr>
                            <m:sty m:val="i"/>
                          </m:rPr>
                          <m:t>s</m:t>
                        </m:r>
                        <m:r>
                          <m:rPr>
                            <m:sty m:val="p"/>
                          </m:rPr>
                          <m:t>1</m:t>
                        </m:r>
                      </m:sub>
                    </m:sSub>
                    <m:r>
                      <m:rPr>
                        <m:sty m:val="p"/>
                      </m:rPr>
                      <m:t>(</m:t>
                    </m:r>
                    <m:r>
                      <m:rPr>
                        <m:sty m:val="i"/>
                      </m:rPr>
                      <m:t>r</m:t>
                    </m:r>
                    <m:r>
                      <m:rPr>
                        <m:sty m:val="p"/>
                      </m:rPr>
                      <m:t>,</m:t>
                    </m:r>
                    <m:r>
                      <m:rPr>
                        <m:sty m:val="i"/>
                      </m:rPr>
                      <m:t>θ</m:t>
                    </m:r>
                    <m:r>
                      <m:rPr>
                        <m:sty m:val="p"/>
                      </m:rPr>
                      <m:t>,</m:t>
                    </m:r>
                    <m:r>
                      <m:rPr>
                        <m:sty m:val="i"/>
                      </m:rPr>
                      <m:t>t</m:t>
                    </m:r>
                    <m:r>
                      <m:rPr>
                        <m:sty m:val="p"/>
                      </m:rPr>
                      <m:t>)</m:t>
                    </m:r>
                    <m:r>
                      <m:rPr>
                        <m:sty m:val="p"/>
                      </m:rPr>
                      <m:t>=</m:t>
                    </m:r>
                    <m:r>
                      <m:rPr>
                        <m:sty m:val="p"/>
                      </m:rPr>
                      <m:t>−</m:t>
                    </m:r>
                    <m:f>
                      <m:fPr>
                        <m:ctrlPr>
                          <w:rPr>
                            <w:rFonts w:ascii="Cambria Math" w:hAnsi="Cambria Math"/>
                          </w:rPr>
                        </m:ctrlPr>
                      </m:fPr>
                      <m:num>
                        <m:sSub>
                          <m:sSubPr/>
                          <m:e>
                            <m:r>
                              <m:rPr>
                                <m:sty m:val="i"/>
                              </m:rPr>
                              <m:t>μ</m:t>
                            </m:r>
                          </m:e>
                          <m:sub>
                            <m:r>
                              <m:rPr>
                                <m:sty m:val="p"/>
                              </m:rPr>
                              <m:t>0</m:t>
                            </m:r>
                          </m:sub>
                        </m:sSub>
                        <m:sSub>
                          <m:sSubPr/>
                          <m:e>
                            <m:r>
                              <m:rPr>
                                <m:sty m:val="i"/>
                              </m:rPr>
                              <m:t>i</m:t>
                            </m:r>
                          </m:e>
                          <m:sub>
                            <m:r>
                              <m:rPr>
                                <m:sty m:val="p"/>
                              </m:rPr>
                              <m:t>1</m:t>
                            </m:r>
                          </m:sub>
                        </m:sSub>
                        <m:r>
                          <m:rPr>
                            <m:sty m:val="p"/>
                          </m:rPr>
                          <m:t>(</m:t>
                        </m:r>
                        <m:r>
                          <m:rPr>
                            <m:sty m:val="i"/>
                          </m:rPr>
                          <m:t>t</m:t>
                        </m:r>
                        <m:r>
                          <m:rPr>
                            <m:sty m:val="p"/>
                          </m:rPr>
                          <m:t>)</m:t>
                        </m:r>
                      </m:num>
                      <m:den>
                        <m:r>
                          <m:rPr>
                            <m:sty m:val="p"/>
                          </m:rPr>
                          <m:t>2</m:t>
                        </m:r>
                        <m:r>
                          <m:rPr>
                            <m:sty m:val="i"/>
                          </m:rPr>
                          <m:t>e</m:t>
                        </m:r>
                      </m:den>
                    </m:f>
                    <m:sSub>
                      <m:sSubPr/>
                      <m:e>
                        <m:acc>
                          <m:accPr>
                            <m:chr m:val="⃗"/>
                          </m:accPr>
                          <m:e>
                            <m:r>
                              <m:rPr>
                                <m:sty m:val="i"/>
                              </m:rPr>
                              <m:t>u</m:t>
                            </m:r>
                          </m:e>
                        </m:acc>
                      </m:e>
                      <m:sub>
                        <m:r>
                          <m:rPr>
                            <m:sty m:val="i"/>
                          </m:rPr>
                          <m:t>r</m:t>
                        </m:r>
                      </m:sub>
                    </m:sSub>
                  </m:e>
                  <m:e>
                    <m:r>
                      <m:rPr>
                        <m:nor/>
                      </m:rPr>
                      <m:t> pour </m:t>
                    </m:r>
                    <m:r>
                      <m:rPr>
                        <m:sty m:val="i"/>
                      </m:rPr>
                      <m:t>θ</m:t>
                    </m:r>
                    <m:r>
                      <m:rPr>
                        <m:sty m:val="p"/>
                      </m:rPr>
                      <m:t>∈</m:t>
                    </m:r>
                    <m:r>
                      <m:rPr>
                        <m:sty m:val="p"/>
                      </m:rPr>
                      <m:t>]</m:t>
                    </m:r>
                    <m:r>
                      <m:rPr>
                        <m:sty m:val="i"/>
                      </m:rPr>
                      <m:t>π</m:t>
                    </m:r>
                    <m:r>
                      <m:rPr>
                        <m:sty m:val="p"/>
                      </m:rPr>
                      <m:t>/</m:t>
                    </m:r>
                    <m:r>
                      <m:rPr>
                        <m:sty m:val="p"/>
                      </m:rPr>
                      <m:t>2</m:t>
                    </m:r>
                    <m:r>
                      <m:rPr>
                        <m:sty m:val="p"/>
                      </m:rPr>
                      <m:t>,</m:t>
                    </m:r>
                    <m:r>
                      <m:rPr>
                        <m:sty m:val="p"/>
                      </m:rPr>
                      <m:t>3</m:t>
                    </m:r>
                    <m:r>
                      <m:rPr>
                        <m:sty m:val="i"/>
                      </m:rPr>
                      <m:t>π</m:t>
                    </m:r>
                    <m:r>
                      <m:rPr>
                        <m:sty m:val="p"/>
                      </m:rPr>
                      <m:t>/</m:t>
                    </m:r>
                    <m:r>
                      <m:rPr>
                        <m:sty m:val="p"/>
                      </m:rPr>
                      <m:t>2</m:t>
                    </m:r>
                    <m:r>
                      <m:rPr>
                        <m:sty m:val="p"/>
                      </m:rPr>
                      <m:t>[</m:t>
                    </m:r>
                  </m:e>
                </m:mr>
              </m:m>
            </m:e>
          </m:d>
        </m:oMath>
      </m:oMathPara>
    </w:p>
    <w:p>
      <w:pPr>
        <w:spacing w:after="220" w:lineRule="auto"/>
      </w:pPr>
      <w:r>
        <w:rPr>
          <w:rFonts w:eastAsia="Georgia" w:cs="Georgia" w:ascii="Georgia" w:hAnsi="Georgia"/>
        </w:rPr>
        <w:t xml:space="preserve">III.B.2) Justifier qu'une répartition judicieuse des brins dans des encoches régulièrement réparties autour du stator puisse fournir un champ dont l'allure théorique est de la forme donnée figure 6.</w:t>
      </w:r>
      <w:r>
        <w:rPr/>
        <w:br w:type="textWrapping"/>
      </w:r>
      <w:r>
        <w:rPr>
          <w:rFonts w:eastAsia="Georgia" w:cs="Georgia" w:ascii="Georgia" w:hAnsi="Georgia"/>
        </w:rPr>
        <w:t xml:space="preserve">Combien d'encoches réparties correspondent à la courbe de la figure 6 ? Précisez les repères angulaires sur l'axe des abscisses.</w:t>
      </w:r>
    </w:p>
    <w:p>
      <w:pPr>
        <w:spacing w:lineRule="auto"/>
        <w:jc w:val="center"/>
      </w:pPr>
      <w:r>
        <w:rPr/>
        <w:drawing>
          <wp:inline distB="0" distL="0" distR="0" distT="0">
            <wp:extent cx="5486400" cy="2274111"/>
            <wp:effectExtent b="0" l="0" r="0" t="0"/>
            <wp:docPr id="6" name="image-d49133f3628b48b511bbf68f34cae114f5431168.jpg"/>
            <a:graphic>
              <a:graphicData uri="http://schemas.openxmlformats.org/drawingml/2006/picture">
                <pic:pic>
                  <pic:nvPicPr>
                    <pic:cNvPr id="6" name="image-d49133f3628b48b511bbf68f34cae114f5431168.jpg" descr=""/>
                    <pic:cNvPicPr/>
                  </pic:nvPicPr>
                  <pic:blipFill>
                    <a:blip r:embed="rId10" cstate="print"/>
                    <a:srcRect b="0" l="0" r="0" t="0"/>
                    <a:stretch>
                      <a:fillRect/>
                    </a:stretch>
                  </pic:blipFill>
                  <pic:spPr>
                    <a:xfrm>
                      <a:off x="0" y="0"/>
                      <a:ext cx="5486400" cy="2274111"/>
                    </a:xfrm>
                    <a:prstGeom prst="rect"/>
                  </pic:spPr>
                </pic:pic>
              </a:graphicData>
            </a:graphic>
          </wp:inline>
        </w:drawing>
      </w:r>
    </w:p>
    <w:p>
      <w:pPr>
        <w:spacing w:lineRule="auto"/>
      </w:pPr>
      <w:r>
        <w:rPr/>
        <w:t xml:space="preserve">Figure 6</w:t>
      </w:r>
    </w:p>
    <w:p>
      <w:pPr>
        <w:spacing w:after="220" w:lineRule="auto"/>
      </w:pPr>
      <w:r>
        <w:rPr/>
        <w:t xml:space="preserve">III.B.3) Le champ statorique radial </w:t>
      </w:r>
      <m:oMath>
        <m:sSub>
          <m:sSubPr/>
          <m:e>
            <m:r>
              <m:rPr>
                <m:sty m:val="i"/>
              </m:rPr>
              <m:t>B</m:t>
            </m:r>
          </m:e>
          <m:sub>
            <m:r>
              <m:rPr>
                <m:sty m:val="i"/>
              </m:rPr>
              <m:t>s</m:t>
            </m:r>
            <m:r>
              <m:rPr>
                <m:sty m:val="p"/>
              </m:rPr>
              <m:t>1</m:t>
            </m:r>
          </m:sub>
        </m:sSub>
      </m:oMath>
      <w:r>
        <w:rPr>
          <w:rFonts w:eastAsia="Georgia" w:cs="Georgia" w:ascii="Georgia" w:hAnsi="Georgia"/>
        </w:rPr>
        <w:t xml:space="preserve"> s'approche d'une fonction sinusoïdale de la forme </w:t>
      </w:r>
      <m:oMath>
        <m:sSub>
          <m:sSubPr/>
          <m:e>
            <m:r>
              <m:rPr>
                <m:sty m:val="i"/>
              </m:rPr>
              <m:t>B</m:t>
            </m:r>
          </m:e>
          <m:sub>
            <m:r>
              <m:rPr>
                <m:sty m:val="i"/>
              </m:rPr>
              <m:t>s</m:t>
            </m:r>
            <m:r>
              <m:rPr>
                <m:sty m:val="p"/>
              </m:rPr>
              <m:t>1</m:t>
            </m:r>
          </m:sub>
        </m:sSub>
        <m:r>
          <m:rPr>
            <m:sty m:val="p"/>
          </m:rPr>
          <m:t>(</m:t>
        </m:r>
        <m:r>
          <m:rPr>
            <m:sty m:val="i"/>
          </m:rPr>
          <m:t>θ</m:t>
        </m:r>
        <m:r>
          <m:rPr>
            <m:sty m:val="p"/>
          </m:rPr>
          <m:t>,</m:t>
        </m:r>
        <m:r>
          <m:rPr>
            <m:sty m:val="i"/>
          </m:rPr>
          <m:t>t</m:t>
        </m:r>
        <m:r>
          <m:rPr>
            <m:sty m:val="p"/>
          </m:rPr>
          <m:t>)</m:t>
        </m:r>
        <m:r>
          <m:rPr>
            <m:sty m:val="p"/>
          </m:rPr>
          <m:t>≈</m:t>
        </m:r>
        <m:sSub>
          <m:sSubPr/>
          <m:e>
            <m:r>
              <m:rPr>
                <m:sty m:val="i"/>
              </m:rPr>
              <m:t>K</m:t>
            </m:r>
          </m:e>
          <m:sub>
            <m:r>
              <m:rPr>
                <m:sty m:val="i"/>
              </m:rPr>
              <m:t>s</m:t>
            </m:r>
          </m:sub>
        </m:sSub>
        <m:sSub>
          <m:sSubPr/>
          <m:e>
            <m:r>
              <m:rPr>
                <m:sty m:val="i"/>
              </m:rPr>
              <m:t>i</m:t>
            </m:r>
          </m:e>
          <m:sub>
            <m:r>
              <m:rPr>
                <m:sty m:val="p"/>
              </m:rPr>
              <m:t>1</m:t>
            </m:r>
          </m:sub>
        </m:sSub>
        <m:r>
          <m:rPr>
            <m:sty m:val="p"/>
          </m:rPr>
          <m:t>(</m:t>
        </m:r>
        <m:r>
          <m:rPr>
            <m:sty m:val="i"/>
          </m:rPr>
          <m:t>t</m:t>
        </m:r>
        <m:r>
          <m:rPr>
            <m:sty m:val="p"/>
          </m:rPr>
          <m:t>)</m:t>
        </m:r>
        <m:r>
          <m:rPr>
            <m:sty m:val="p"/>
          </m:rPr>
          <m:t>cos</m:t>
        </m:r>
        <m:r>
          <m:rPr>
            <m:sty m:val="p"/>
          </m:rPr>
          <m:t>⁡</m:t>
        </m:r>
        <m:r>
          <m:rPr>
            <m:sty m:val="i"/>
          </m:rPr>
          <m:t>θ</m:t>
        </m:r>
      </m:oMath>
      <w:r>
        <w:rPr>
          <w:rFonts w:eastAsia="Georgia" w:cs="Georgia" w:ascii="Georgia" w:hAnsi="Georgia"/>
        </w:rPr>
        <w:t xml:space="preserve"> que l'on prendra désormais comme la contribution réelle du courant </w:t>
      </w:r>
      <m:oMath>
        <m:sSub>
          <m:sSubPr/>
          <m:e>
            <m:r>
              <m:rPr>
                <m:sty m:val="i"/>
              </m:rPr>
              <m:t>i</m:t>
            </m:r>
          </m:e>
          <m:sub>
            <m:r>
              <m:rPr>
                <m:sty m:val="p"/>
              </m:rPr>
              <m:t>1</m:t>
            </m:r>
          </m:sub>
        </m:sSub>
        <m:r>
          <m:rPr>
            <m:sty m:val="p"/>
          </m:rPr>
          <m:t>(</m:t>
        </m:r>
        <m:r>
          <m:rPr>
            <m:sty m:val="i"/>
          </m:rPr>
          <m:t>t</m:t>
        </m:r>
        <m:r>
          <m:rPr>
            <m:sty m:val="p"/>
          </m:rPr>
          <m:t>)</m:t>
        </m:r>
      </m:oMath>
      <w:r>
        <w:rPr/>
        <w:t xml:space="preserve"> dans l'enroulement.</w:t>
      </w:r>
      <w:r>
        <w:rPr/>
        <w:br w:type="textWrapping"/>
      </w:r>
      <w:r>
        <w:rPr>
          <w:rFonts w:eastAsia="Georgia" w:cs="Georgia" w:ascii="Georgia" w:hAnsi="Georgia"/>
        </w:rPr>
        <w:t xml:space="preserve">De quoi dépend la constante </w:t>
      </w:r>
      <m:oMath>
        <m:sSub>
          <m:sSubPr/>
          <m:e>
            <m:r>
              <m:rPr>
                <m:sty m:val="i"/>
              </m:rPr>
              <m:t>K</m:t>
            </m:r>
          </m:e>
          <m:sub>
            <m:r>
              <m:rPr>
                <m:sty m:val="i"/>
              </m:rPr>
              <m:t>s</m:t>
            </m:r>
          </m:sub>
        </m:sSub>
      </m:oMath>
      <w:r>
        <w:rPr/>
        <w:t xml:space="preserve"> ?</w:t>
      </w:r>
      <w:r>
        <w:rPr/>
        <w:br w:type="textWrapping"/>
      </w:r>
      <w:r>
        <w:rPr>
          <w:rFonts w:eastAsia="Georgia" w:cs="Georgia" w:ascii="Georgia" w:hAnsi="Georgia"/>
        </w:rPr>
        <w:t xml:space="preserve">III.B.4) On rajoute le second enroulement décalé spatialement de l'angle </w:t>
      </w:r>
      <m:oMath>
        <m:r>
          <m:rPr>
            <m:sty m:val="p"/>
          </m:rPr>
          <m:t>+</m:t>
        </m:r>
        <m:r>
          <m:rPr>
            <m:sty m:val="i"/>
          </m:rPr>
          <m:t>π</m:t>
        </m:r>
        <m:r>
          <m:rPr>
            <m:sty m:val="p"/>
          </m:rPr>
          <m:t>/</m:t>
        </m:r>
        <m:r>
          <m:rPr>
            <m:sty m:val="p"/>
          </m:rPr>
          <m:t>2</m:t>
        </m:r>
      </m:oMath>
      <w:r>
        <w:rPr/>
        <w:t xml:space="preserve"> (donc sur l'axe </w:t>
      </w:r>
      <m:oMath>
        <m:sSup>
          <m:sSupPr/>
          <m:e>
            <m:r>
              <m:rPr>
                <m:sty m:val="i"/>
              </m:rPr>
              <m:t>x</m:t>
            </m:r>
          </m:e>
          <m:sup>
            <m:r>
              <m:rPr>
                <m:sty m:val="i"/>
              </m:rPr>
              <m:t>′</m:t>
            </m:r>
          </m:sup>
        </m:sSup>
        <m:r>
          <m:rPr>
            <m:sty m:val="i"/>
          </m:rPr>
          <m:t>x</m:t>
        </m:r>
      </m:oMath>
      <w:r>
        <w:rPr/>
        <w:t xml:space="preserve"> ). Le courant </w:t>
      </w:r>
      <m:oMath>
        <m:sSub>
          <m:sSubPr/>
          <m:e>
            <m:r>
              <m:rPr>
                <m:sty m:val="i"/>
              </m:rPr>
              <m:t>i</m:t>
            </m:r>
          </m:e>
          <m:sub>
            <m:r>
              <m:rPr>
                <m:sty m:val="p"/>
              </m:rPr>
              <m:t>2</m:t>
            </m:r>
          </m:sub>
        </m:sSub>
        <m:r>
          <m:rPr>
            <m:sty m:val="p"/>
          </m:rPr>
          <m:t>(</m:t>
        </m:r>
        <m:r>
          <m:rPr>
            <m:sty m:val="i"/>
          </m:rPr>
          <m:t>t</m:t>
        </m:r>
        <m:r>
          <m:rPr>
            <m:sty m:val="p"/>
          </m:rPr>
          <m:t>)</m:t>
        </m:r>
      </m:oMath>
      <w:r>
        <w:rPr/>
        <w:t xml:space="preserve"> de cet enroulement est en quadrature retard sur le courant </w:t>
      </w:r>
      <m:oMath>
        <m:sSub>
          <m:sSubPr/>
          <m:e>
            <m:r>
              <m:rPr>
                <m:sty m:val="i"/>
              </m:rPr>
              <m:t>i</m:t>
            </m:r>
          </m:e>
          <m:sub>
            <m:r>
              <m:rPr>
                <m:sty m:val="p"/>
              </m:rPr>
              <m:t>1</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Montrer que sa participation au champ radial statorique s'écrira </w:t>
      </w:r>
      <m:oMath>
        <m:sSub>
          <m:sSubPr/>
          <m:e>
            <m:r>
              <m:rPr>
                <m:sty m:val="i"/>
              </m:rPr>
              <m:t>B</m:t>
            </m:r>
          </m:e>
          <m:sub>
            <m:r>
              <m:rPr>
                <m:sty m:val="i"/>
              </m:rPr>
              <m:t>s</m:t>
            </m:r>
            <m:r>
              <m:rPr>
                <m:sty m:val="p"/>
              </m:rPr>
              <m:t>2</m:t>
            </m:r>
          </m:sub>
        </m:sSub>
        <m:r>
          <m:rPr>
            <m:sty m:val="p"/>
          </m:rPr>
          <m:t>(</m:t>
        </m:r>
        <m:r>
          <m:rPr>
            <m:sty m:val="i"/>
          </m:rPr>
          <m:t>θ</m:t>
        </m:r>
        <m:r>
          <m:rPr>
            <m:sty m:val="p"/>
          </m:rPr>
          <m:t>,</m:t>
        </m:r>
        <m:r>
          <m:rPr>
            <m:sty m:val="i"/>
          </m:rPr>
          <m:t>t</m:t>
        </m:r>
        <m:r>
          <m:rPr>
            <m:sty m:val="p"/>
          </m:rPr>
          <m:t>)</m:t>
        </m:r>
        <m:r>
          <m:rPr>
            <m:sty m:val="p"/>
          </m:rPr>
          <m:t>=</m:t>
        </m:r>
        <m:sSub>
          <m:sSubPr/>
          <m:e>
            <m:r>
              <m:rPr>
                <m:sty m:val="i"/>
              </m:rPr>
              <m:t>K</m:t>
            </m:r>
          </m:e>
          <m:sub>
            <m:r>
              <m:rPr>
                <m:sty m:val="i"/>
              </m:rPr>
              <m:t>s</m:t>
            </m:r>
          </m:sub>
        </m:sSub>
        <m:r>
          <m:rPr>
            <m:sty m:val="i"/>
          </m:rPr>
          <m:t>I</m:t>
        </m:r>
        <m:r>
          <m:rPr>
            <m:sty m:val="p"/>
          </m:rPr>
          <m:t>sin</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r>
              <m:rPr>
                <m:sty m:val="p"/>
              </m:rPr>
              <m:t>+</m:t>
            </m:r>
            <m:sSub>
              <m:sSubPr/>
              <m:e>
                <m:r>
                  <m:rPr>
                    <m:sty m:val="i"/>
                  </m:rPr>
                  <m:t>β</m:t>
                </m:r>
              </m:e>
              <m:sub>
                <m:r>
                  <m:rPr>
                    <m:sty m:val="i"/>
                  </m:rPr>
                  <m:t>s</m:t>
                </m:r>
              </m:sub>
            </m:sSub>
          </m:e>
        </m:d>
        <m:r>
          <m:rPr>
            <m:sty m:val="p"/>
          </m:rPr>
          <m:t>sin</m:t>
        </m:r>
        <m:r>
          <m:rPr>
            <m:sty m:val="p"/>
          </m:rPr>
          <m:t>⁡</m:t>
        </m:r>
        <m:r>
          <m:rPr>
            <m:sty m:val="i"/>
          </m:rPr>
          <m:t>θ</m:t>
        </m:r>
      </m:oMath>
      <w:r>
        <w:rPr/>
        <w:t xml:space="preserve">.</w:t>
      </w:r>
      <w:r>
        <w:rPr/>
        <w:br w:type="textWrapping"/>
      </w:r>
      <w:r>
        <w:rPr>
          <w:rFonts w:eastAsia="Georgia" w:cs="Georgia" w:ascii="Georgia" w:hAnsi="Georgia"/>
        </w:rPr>
        <w:t xml:space="preserve">III.B.5) Montrer que le champ magnétique statorique résultant est un champ tournant dans le sens trigonométrique à la vitesse angulaire </w:t>
      </w:r>
      <m:oMath>
        <m:sSub>
          <m:sSubPr/>
          <m:e>
            <m:r>
              <m:rPr>
                <m:sty m:val="i"/>
              </m:rPr>
              <m:t>ω</m:t>
            </m:r>
          </m:e>
          <m:sub>
            <m:r>
              <m:rPr>
                <m:sty m:val="i"/>
              </m:rPr>
              <m:t>s</m:t>
            </m:r>
          </m:sub>
        </m:sSub>
      </m:oMath>
      <w:r>
        <w:rPr/>
        <w:t xml:space="preserve"> dont on donnera l'amplitude.</w:t>
      </w:r>
    </w:p>
    <w:p>
      <w:pPr>
        <w:spacing w:line="271" w:before="330" w:lineRule="auto"/>
      </w:pPr>
      <w:r>
        <w:rPr>
          <w:rFonts w:eastAsia="Georgia" w:cs="Georgia" w:ascii="Georgia" w:hAnsi="Georgia"/>
          <w:b/>
          <w:sz w:val="42"/>
        </w:rPr>
        <w:t xml:space="preserve">III.C - Énergie magnétique dans l'entrefer</w:t>
      </w:r>
    </w:p>
    <w:p>
      <w:pPr>
        <w:spacing w:after="220" w:lineRule="auto"/>
      </w:pPr>
      <w:r>
        <w:rPr>
          <w:rFonts w:eastAsia="Georgia" w:cs="Georgia" w:ascii="Georgia" w:hAnsi="Georgia"/>
        </w:rPr>
        <w:t xml:space="preserve">III.C.1) Rappeler l'expression de la densité volumique d'énergie magnétique dans un milieu de perméabilité relative </w:t>
      </w:r>
      <m:oMath>
        <m:sSub>
          <m:sSubPr/>
          <m:e>
            <m:r>
              <m:rPr>
                <m:sty m:val="i"/>
              </m:rPr>
              <m:t>μ</m:t>
            </m:r>
          </m:e>
          <m:sub>
            <m:r>
              <m:rPr>
                <m:sty m:val="i"/>
              </m:rPr>
              <m:t>r</m:t>
            </m:r>
          </m:sub>
        </m:sSub>
      </m:oMath>
      <w:r>
        <w:rPr/>
        <w:t xml:space="preserve">.</w:t>
      </w:r>
      <w:r>
        <w:rPr/>
        <w:br w:type="textWrapping"/>
      </w:r>
      <w:r>
        <w:rPr>
          <w:rFonts w:eastAsia="Georgia" w:cs="Georgia" w:ascii="Georgia" w:hAnsi="Georgia"/>
        </w:rPr>
        <w:t xml:space="preserve">III.C.2) Calculer l'énergie magnétique dans l'entrefer (siège des champs rotorique et statorique) en négligeant les effets de bord et en notant </w:t>
      </w:r>
      <m:oMath>
        <m:r>
          <m:rPr>
            <m:sty m:val="i"/>
          </m:rPr>
          <m:t>l</m:t>
        </m:r>
      </m:oMath>
      <w:r>
        <w:rPr/>
        <w:t xml:space="preserve"> la longueur du rotor.</w:t>
      </w:r>
      <w:r>
        <w:rPr/>
        <w:br w:type="textWrapping"/>
      </w:r>
      <w:r>
        <w:rPr>
          <w:rFonts w:eastAsia="Georgia" w:cs="Georgia" w:ascii="Georgia" w:hAnsi="Georgia"/>
        </w:rPr>
        <w:t xml:space="preserve">On pourra alléger l'expression finale en faisant apparaitre le volume d'entrefer </w:t>
      </w:r>
      <m:oMath>
        <m:r>
          <m:rPr>
            <m:sty m:val="i"/>
          </m:rPr>
          <m:t>V</m:t>
        </m:r>
        <m:r>
          <m:rPr>
            <m:sty m:val="p"/>
          </m:rPr>
          <m:t>=</m:t>
        </m:r>
        <m:r>
          <m:rPr>
            <m:sty m:val="p"/>
          </m:rPr>
          <m:t>2</m:t>
        </m:r>
        <m:r>
          <m:rPr>
            <m:sty m:val="i"/>
          </m:rPr>
          <m:t>π</m:t>
        </m:r>
        <m:r>
          <m:rPr>
            <m:sty m:val="i"/>
          </m:rPr>
          <m:t>a</m:t>
        </m:r>
        <m:r>
          <m:rPr>
            <m:sty m:val="i"/>
          </m:rPr>
          <m:t>e</m:t>
        </m:r>
        <m:r>
          <m:rPr>
            <m:sty m:val="i"/>
          </m:rPr>
          <m:t>l</m:t>
        </m:r>
      </m:oMath>
      <w:r>
        <w:rPr/>
        <w:t xml:space="preserve">.</w:t>
      </w:r>
    </w:p>
    <w:p>
      <w:pPr>
        <w:spacing w:line="271" w:before="330" w:lineRule="auto"/>
      </w:pPr>
      <w:r>
        <w:rPr>
          <w:rFonts w:eastAsia="Georgia" w:cs="Georgia" w:ascii="Georgia" w:hAnsi="Georgia"/>
          <w:b/>
          <w:sz w:val="42"/>
        </w:rPr>
        <w:t xml:space="preserve">III.D - Moment électromagnétique s'exerçant sur le rotor</w:t>
      </w:r>
    </w:p>
    <w:p>
      <w:pPr>
        <w:spacing w:after="220" w:lineRule="auto"/>
      </w:pPr>
      <w:r>
        <w:rPr>
          <w:rFonts w:eastAsia="Georgia" w:cs="Georgia" w:ascii="Georgia" w:hAnsi="Georgia"/>
        </w:rPr>
        <w:t xml:space="preserve">III.D.1) Rappeler l'expression du couple des forces électromagnétiques exercées sur le rotor, à partir de l'énergie magnétique.</w:t>
      </w:r>
      <w:r>
        <w:rPr/>
        <w:br w:type="textWrapping"/>
      </w:r>
      <w:r>
        <w:rPr>
          <w:rFonts w:eastAsia="Georgia" w:cs="Georgia" w:ascii="Georgia" w:hAnsi="Georgia"/>
        </w:rPr>
        <w:t xml:space="preserve">En déduire l'expression de ce couple en utilisant le résultat de la question III.C.2.</w:t>
      </w:r>
      <w:r>
        <w:rPr/>
        <w:br w:type="textWrapping"/>
      </w:r>
      <w:r>
        <w:rPr>
          <w:rFonts w:eastAsia="Georgia" w:cs="Georgia" w:ascii="Georgia" w:hAnsi="Georgia"/>
        </w:rPr>
        <w:t xml:space="preserve">III.D.2) Quelles conditions sont nécessaires à l'obtention d'un couple moteur moyen positif ?</w:t>
      </w:r>
      <w:r>
        <w:rPr/>
        <w:br w:type="textWrapping"/>
      </w:r>
      <w:r>
        <w:rPr>
          <w:rFonts w:eastAsia="Georgia" w:cs="Georgia" w:ascii="Georgia" w:hAnsi="Georgia"/>
        </w:rPr>
        <w:t xml:space="preserve">III.D.3) Discuter le rôle de </w:t>
      </w:r>
      <m:oMath>
        <m:sSub>
          <m:sSubPr/>
          <m:e>
            <m:r>
              <m:rPr>
                <m:sty m:val="i"/>
              </m:rPr>
              <m:t>β</m:t>
            </m:r>
          </m:e>
          <m:sub>
            <m:r>
              <m:rPr>
                <m:sty m:val="i"/>
              </m:rPr>
              <m:t>s</m:t>
            </m:r>
          </m:sub>
        </m:sSub>
      </m:oMath>
      <w:r>
        <w:rPr>
          <w:rFonts w:eastAsia="Georgia" w:cs="Georgia" w:ascii="Georgia" w:hAnsi="Georgia"/>
        </w:rPr>
        <w:t xml:space="preserve"> (angle de «calage» des courants) et la stabilité de deux points de fonctionnement associés à deux valeurs de </w:t>
      </w:r>
      <m:oMath>
        <m:sSub>
          <m:sSubPr/>
          <m:e>
            <m:r>
              <m:rPr>
                <m:sty m:val="i"/>
              </m:rPr>
              <m:t>β</m:t>
            </m:r>
          </m:e>
          <m:sub>
            <m:r>
              <m:rPr>
                <m:sty m:val="i"/>
              </m:rPr>
              <m:t>s</m:t>
            </m:r>
          </m:sub>
        </m:sSub>
      </m:oMath>
      <w:r>
        <w:rPr/>
        <w:t xml:space="preserve">.</w:t>
      </w:r>
    </w:p>
    <w:p>
      <w:pPr>
        <w:spacing w:after="220" w:lineRule="auto"/>
      </w:pPr>
      <w:r>
        <w:rPr/>
        <w:t xml:space="preserve">Darcy-Weisbach friction factor </w:t>
      </w:r>
      <m:oMath>
        <m:r>
          <m:rPr>
            <m:sty m:val="i"/>
          </m:rPr>
          <m:t>f</m:t>
        </m:r>
        <m:r>
          <m:rPr>
            <m:sty m:val="p"/>
          </m:rPr>
          <m:t>=</m:t>
        </m:r>
        <m:f>
          <m:fPr>
            <m:ctrlPr>
              <w:rPr>
                <w:rFonts w:ascii="Cambria Math" w:hAnsi="Cambria Math"/>
              </w:rPr>
            </m:ctrlPr>
          </m:fPr>
          <m:num>
            <m:r>
              <m:rPr>
                <m:sty m:val="p"/>
              </m:rPr>
              <m:t>2</m:t>
            </m:r>
            <m:r>
              <m:rPr>
                <m:sty m:val="i"/>
              </m:rPr>
              <m:t>h</m:t>
            </m:r>
            <m:r>
              <m:rPr>
                <m:sty m:val="i"/>
              </m:rPr>
              <m:t>D</m:t>
            </m:r>
            <m:r>
              <m:rPr>
                <m:sty m:val="i"/>
              </m:rPr>
              <m:t>g</m:t>
            </m:r>
          </m:num>
          <m:den>
            <m:r>
              <m:rPr>
                <m:sty m:val="i"/>
              </m:rPr>
              <m:t>L</m:t>
            </m:r>
            <m:sSup>
              <m:sSupPr/>
              <m:e>
                <m:r>
                  <m:rPr>
                    <m:sty m:val="i"/>
                  </m:rPr>
                  <m:t>V</m:t>
                </m:r>
              </m:e>
              <m:sup>
                <m:r>
                  <m:rPr>
                    <m:sty m:val="p"/>
                  </m:rPr>
                  <m:t>2</m:t>
                </m:r>
              </m:sup>
            </m:sSup>
          </m:den>
        </m:f>
      </m:oMath>
    </w:p>
    <w:p>
      <w:pPr>
        <w:spacing w:lineRule="auto"/>
        <w:jc w:val="center"/>
      </w:pPr>
      <w:r>
        <w:rPr/>
        <w:drawing>
          <wp:inline distB="0" distL="0" distR="0" distT="0">
            <wp:extent cx="5486400" cy="7236236"/>
            <wp:effectExtent b="0" l="0" r="0" t="0"/>
            <wp:docPr id="7" name="image-4ce73015b3a8388031e64c6f3840d9c2f5d9c8a0.jpg"/>
            <a:graphic>
              <a:graphicData uri="http://schemas.openxmlformats.org/drawingml/2006/picture">
                <pic:pic>
                  <pic:nvPicPr>
                    <pic:cNvPr id="7" name="image-4ce73015b3a8388031e64c6f3840d9c2f5d9c8a0.jpg" descr=""/>
                    <pic:cNvPicPr/>
                  </pic:nvPicPr>
                  <pic:blipFill>
                    <a:blip r:embed="rId11" cstate="print"/>
                    <a:srcRect b="0" l="0" r="0" t="0"/>
                    <a:stretch>
                      <a:fillRect/>
                    </a:stretch>
                  </pic:blipFill>
                  <pic:spPr>
                    <a:xfrm>
                      <a:off x="0" y="0"/>
                      <a:ext cx="5486400" cy="7236236"/>
                    </a:xfrm>
                    <a:prstGeom prst="rect"/>
                  </pic:spPr>
                </pic:pic>
              </a:graphicData>
            </a:graphic>
          </wp:inline>
        </w:drawing>
      </w:r>
    </w:p>
    <w:p>
      <w:pPr>
        <w:spacing w:lineRule="auto"/>
      </w:pPr>
      <w:r>
        <w:rPr/>
        <w:t xml:space="preserve">Figure 7 Diagramme de Moody</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4cffca6314e90d4bb445ba877399ea5bddb9bf8.jpg" TargetMode="Internal"/><Relationship Id="rId6" Type="http://schemas.openxmlformats.org/officeDocument/2006/relationships/image" Target="media/image-8de64c73ce4012c444b4214819af1d3c6dc3c830.jpg" TargetMode="Internal"/><Relationship Id="rId7" Type="http://schemas.openxmlformats.org/officeDocument/2006/relationships/image" Target="media/image-cd3aaccbe10afc764a97e19381654351da87409c.jpg" TargetMode="Internal"/><Relationship Id="rId8" Type="http://schemas.openxmlformats.org/officeDocument/2006/relationships/image" Target="media/image-4ad96721cf2944b374aa06435578651fb82e9861.jpg" TargetMode="Internal"/><Relationship Id="rId9" Type="http://schemas.openxmlformats.org/officeDocument/2006/relationships/image" Target="media/image-b181e784f0448d91732af52146e8cf4b4002f3af.jpg" TargetMode="Internal"/><Relationship Id="rId10" Type="http://schemas.openxmlformats.org/officeDocument/2006/relationships/image" Target="media/image-d49133f3628b48b511bbf68f34cae114f5431168.jpg" TargetMode="Internal"/><Relationship Id="rId11" Type="http://schemas.openxmlformats.org/officeDocument/2006/relationships/image" Target="media/image-4ce73015b3a8388031e64c6f3840d9c2f5d9c8a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2025-09-04T21:50:37.186Z</dcterms:created>
  <dcterms:modified xsi:type="dcterms:W3CDTF">2025-09-04T21:50:37.186Z</dcterms:modified>
</cp:coreProperties>
</file>