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(respectivement complexes),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et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(ou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), 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égale à la somme de ses éléments diagonaux :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(ou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), le polynôme caractéristique de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Réduction des matrices réelles d'ordre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réelle de taille 2 :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Généralités</w:t>
      </w:r>
    </w:p>
    <w:p>
      <w:pPr>
        <w:spacing w:after="220" w:lineRule="auto"/>
      </w:pPr>
      <w:r>
        <w:rPr/>
        <w:t xml:space="preserve">I.A.1)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I.A.2) Montrer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nor/>
            </m:rPr>
            <m:t> tel que </m:t>
          </m:r>
          <m:r>
            <m:rPr>
              <m:scr m:val="double-struck"/>
            </m:rPr>
            <m:t>A</m:t>
          </m:r>
          <m:r>
            <m:rPr>
              <m:sty m:val="p"/>
            </m:rPr>
            <m:t>=</m:t>
          </m:r>
          <m:sSub>
            <m:sSubPr/>
            <m:e>
              <m:r>
                <m:t xml:space="preserve"> 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cr m:val="double-struck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I.A.3) Montrer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nor/>
            </m:rPr>
            <m:t> tel que </m:t>
          </m:r>
          <m:r>
            <m:rPr>
              <m:scr m:val="double-struck"/>
            </m:rPr>
            <m:t>A</m:t>
          </m:r>
          <m:r>
            <m:rPr>
              <m:sty m:val="p"/>
            </m:rPr>
            <m:t>=</m:t>
          </m:r>
          <m:sSub>
            <m:sSubPr/>
            <m:e>
              <m:r>
                <m:t xml:space="preserve"> 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cr m:val="double-struck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 - Applications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suites à termes réels définies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4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I.B.1) Trouver une matrice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I.B.3) Prouver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diagonalisable puis déterminer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inversible telle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w:r>
        <w:rPr/>
        <w:t xml:space="preserve">I.B.4) Soit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. Exprimer les coefficients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I.B.5) En déduire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Réduction de matrices d'ordre 3 ou 4</w:t>
      </w:r>
    </w:p>
    <w:p>
      <w:pPr>
        <w:spacing w:line="271" w:before="330" w:lineRule="auto"/>
      </w:pPr>
      <w:r>
        <w:rPr>
          <w:b/>
          <w:sz w:val="42"/>
        </w:rPr>
        <w:t xml:space="preserve">II.A - Le cas </w:t>
      </w:r>
      <m:oMath>
        <m:r>
          <m:rPr>
            <m:sty m:val="b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b"/>
          </m:rPr>
          <w:rPr>
            <w:sz w:val="42"/>
          </w:rPr>
          <m:t>3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matrice </w:t>
      </w:r>
      <m:oMath>
        <m:r>
          <m:rPr>
            <m:sty m:val="i"/>
          </m:rPr>
          <m:t>J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II.A.1) Calculer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J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  <w:r>
        <w:rPr>
          <w:b/>
          <w:sz w:val="42"/>
        </w:rPr>
        <w:t xml:space="preserve"> et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J</m:t>
            </m:r>
          </m:e>
          <m:sup>
            <m:r>
              <m:rPr>
                <m:sty m:val="p"/>
              </m:rPr>
              <w:rPr>
                <w:sz w:val="42"/>
              </w:rPr>
              <m:t>3</m:t>
            </m:r>
          </m:sup>
        </m:s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Préciser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II.A.2) On note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le nombre complexe égal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Rappeler sans justification la valeur de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Déterminer le polynôme caractéristique de </w:t>
      </w:r>
      <m:oMath>
        <m:r>
          <m:rPr>
            <m:sty m:val="i"/>
          </m:rPr>
          <m:t>J</m:t>
        </m:r>
      </m:oMath>
      <w:r>
        <w:rPr/>
        <w:t xml:space="preserve"> ainsi que ses valeurs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Déterminer une matrice inversible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j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ȷ</m:t>
                        </m:r>
                      </m:e>
                    </m:acc>
                  </m:e>
                </m:mr>
              </m:m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II.A.5) Soient trois nombres complexes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Exprimer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des matrices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une base indépendante du choix des valeurs des complexes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Préciser les valeurs propres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Exprimer le déterminant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du nombre complexe </w:t>
      </w:r>
      <m:oMath>
        <m:r>
          <m:rPr>
            <m:sty m:val="i"/>
          </m:rPr>
          <m:t>j</m:t>
        </m:r>
      </m:oMath>
      <w:r>
        <w:rPr/>
        <w:t xml:space="preserve"> sous la forme d'un produit.</w:t>
      </w:r>
      <w:r>
        <w:rPr/>
        <w:br w:type="textWrapping"/>
      </w:r>
      <w:r>
        <w:rPr/>
        <w:t xml:space="preserve">II.A.6) On pose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Donner la dimension de </w:t>
      </w:r>
      <m:oMath>
        <m:r>
          <m:rPr>
            <m:sty m:val="i"/>
          </m:rPr>
          <m:t>E</m:t>
        </m:r>
      </m:oMath>
      <w:r>
        <w:rPr/>
        <w:t xml:space="preserve"> en justifiant avec soin.</w:t>
      </w:r>
    </w:p>
    <w:p>
      <w:pPr>
        <w:spacing w:line="271" w:before="330" w:lineRule="auto"/>
      </w:pPr>
      <w:r>
        <w:rPr>
          <w:b/>
          <w:sz w:val="42"/>
        </w:rPr>
        <w:t xml:space="preserve">II.B - Le cas </w:t>
      </w:r>
      <m:oMath>
        <m:r>
          <m:rPr>
            <m:sty m:val="b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⩾</m:t>
        </m:r>
        <m:r>
          <m:rPr>
            <m:sty m:val="p"/>
          </m:rPr>
          <w:rPr>
            <w:sz w:val="42"/>
          </w:rPr>
          <m:t>3</m:t>
        </m:r>
      </m:oMath>
      <w:r>
        <w:rPr>
          <w:b/>
          <w:sz w:val="42"/>
        </w:rPr>
        <w:t xml:space="preserve"> quelconque</w:t>
      </w:r>
    </w:p>
    <w:p>
      <w:pPr>
        <w:spacing w:after="220" w:lineRule="auto"/>
      </w:pPr>
      <w:r>
        <w:rPr/>
        <w:t xml:space="preserve">Dans cette question,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</w:t>
      </w:r>
      <m:oMath>
        <m:r>
          <m:rPr>
            <m:sty m:val="p"/>
          </m:rPr>
          <m:t>3</m:t>
        </m:r>
        <m:r>
          <m:rPr>
            <m:sty m:val="p"/>
          </m:rPr>
          <m:t>: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c'est-à-dire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nor/>
            </m:rPr>
            <m:t> on a 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 tandis que 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II.B.1) On note </w:t>
      </w:r>
      <m:oMath>
        <m:r>
          <m:rPr>
            <m:sty m:val="i"/>
          </m:rPr>
          <m:t>U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dans la base canonique </w:t>
      </w:r>
      <m:oMath>
        <m:r>
          <m:rPr>
            <m:sty m:val="i"/>
          </m:rPr>
          <m:t>e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. Expliciter la matrice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II.B.2) On note </w:t>
      </w:r>
      <m:oMath>
        <m:r>
          <m:rPr>
            <m:sty m:val="i"/>
          </m:rPr>
          <m:t>ω</m:t>
        </m:r>
      </m:oMath>
      <w:r>
        <w:rPr/>
        <w:t xml:space="preserve"> une racine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de l'unité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ω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ω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ω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II.B.3)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diagonalisable. On précisera une base de vecteurs propres pour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II.B.4) Que peut-on dire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II.C - Le cas </w:t>
      </w:r>
      <m:oMath>
        <m:r>
          <m:rPr>
            <m:sty m:val="b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4</m:t>
        </m:r>
      </m:oMath>
      <w:r>
        <w:rPr>
          <w:b/>
          <w:sz w:val="42"/>
        </w:rPr>
        <w:t xml:space="preserve"> quelconque</w:t>
      </w:r>
    </w:p>
    <w:p>
      <w:pPr>
        <w:spacing w:after="220" w:lineRule="auto"/>
      </w:pPr>
      <w:r>
        <w:rPr/>
        <w:t xml:space="preserve">Dans toute cette partie, on choisit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II.C.1) Expliciter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la matrice définie dans la question précédente.</w:t>
      </w:r>
      <w:r>
        <w:rPr/>
        <w:br w:type="textWrapping"/>
      </w:r>
      <w:r>
        <w:rPr/>
        <w:t xml:space="preserve">II.C.2) On note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) une famille de 4 complexes et on pose: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V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une base de vecteurs propres et préciser les valeurs propres de la matrice </w:t>
      </w:r>
      <m:oMath>
        <m:r>
          <m:rPr>
            <m:sty m:val="i"/>
          </m:rPr>
          <m:t>V</m:t>
        </m:r>
      </m:oMath>
      <w:r>
        <w:rPr/>
        <w:t xml:space="preserve"> en fonction des nombres complexes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Le théorème de Cayley-Hamilton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: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Le but de cette partie est de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annule son polynôme caractéristique, c'est-à-dire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…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cr m:val="script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A</m:t>
        </m:r>
      </m:oMath>
      <w:r>
        <w:rPr/>
        <w:t xml:space="preserve"> - Justifier l'existence d'une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triangulaire supérieure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d'une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inversible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éléments diagonaux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matrices colonnes des vecteurs de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Ainsi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Le polynôme caractéristique de </w:t>
      </w:r>
      <m:oMath>
        <m:r>
          <m:rPr>
            <m:sty m:val="i"/>
          </m:rPr>
          <m:t>T</m:t>
        </m:r>
      </m:oMath>
      <w:r>
        <w:rPr/>
        <w:t xml:space="preserve"> est :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III.B - Montrer que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 même polynôme caractéristique.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Vérifier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compris entre 1 et </w:t>
      </w:r>
      <m:oMath>
        <m:r>
          <m:rPr>
            <m:sty m:val="i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D</m:t>
        </m:r>
      </m:oMath>
      <w:r>
        <w:rPr/>
        <w:t xml:space="preserve"> - Montrer que, pour tout 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∈</m:t>
          </m:r>
          <m:r>
            <m:rPr>
              <m:sty m:val="i"/>
            </m:rPr>
            <m:t>V</m:t>
          </m:r>
          <m:r>
            <m:rPr>
              <m:sty m:val="p"/>
            </m:rPr>
            <m:t>ect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E</m:t>
        </m:r>
      </m:oMath>
      <w:r>
        <w:rPr/>
        <w:t xml:space="preserve"> - On pose, pour tout 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que l'on peut noter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puisque les matrices du produit commutent deux à deux.</w:t>
      </w:r>
      <w:r>
        <w:rPr/>
        <w:br w:type="textWrapping"/>
      </w:r>
      <w:r>
        <w:rPr/>
        <w:t xml:space="preserve">Montrer que, pour tout 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un raisonnement par récurrence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F</m:t>
        </m:r>
      </m:oMath>
      <w:r>
        <w:rPr>
          <w:rFonts w:eastAsia="Georgia" w:cs="Georgia" w:ascii="Georgia" w:hAnsi="Georgia"/>
        </w:rPr>
        <w:t xml:space="preserve"> - En déduire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observe que le résultat attendu en découle puisque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Méthodes numériques de calcul du polynôme caractéristique et des valeurs propres d'une matrice réelle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: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Le calcul du polynôme caractéristique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colonne.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IV.A.1)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solution d'un système linéaire de la forme :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où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on donnera les colonnes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colonne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IV.A.3) Que peut-on dire de ce système linéaire si la famille (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est libre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Le calcul approché des valeurs propres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A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distinctes telles que: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&gt;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…</m:t>
          </m:r>
          <m:r>
            <m:rPr>
              <m:sty m:val="p"/>
            </m:rPr>
            <m:t>&gt;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l'ensemble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arbitraires 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pour tout entier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IV.B.1) Montrer que </w:t>
      </w:r>
      <m:oMath>
        <m:r>
          <m:rPr>
            <m:sty m:val="i"/>
          </m:rPr>
          <m:t>F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  <w:r>
        <w:rPr/>
        <w:br w:type="textWrapping"/>
      </w:r>
      <w:r>
        <w:rPr/>
        <w:t xml:space="preserve">IV.B.2) Montrer que, pour tout entier </w:t>
      </w:r>
      <m:oMath>
        <m:r>
          <m:rPr>
            <m:sty m:val="i"/>
          </m:rPr>
          <m:t>j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on admet que </w:t>
      </w:r>
      <m:oMath>
        <m:r>
          <m:rPr>
            <m:sty m:val="i"/>
          </m:rPr>
          <m:t>F</m:t>
        </m:r>
      </m:oMath>
      <w:r>
        <w:rPr/>
        <w:t xml:space="preserve"> est de dimension finie avec </w:t>
      </w:r>
      <m:oMath>
        <m:r>
          <m:rPr>
            <m:sty m:val="p"/>
          </m:rPr>
          <m:t>dim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admet aussi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bSup>
                  </m:e>
                </m:d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bSup>
                  </m:e>
                </m:d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famille libre de l'espace vectoriel des suites de réels.</w:t>
      </w:r>
      <w:r>
        <w:rPr/>
        <w:br w:type="textWrapping"/>
      </w:r>
      <w:r>
        <w:rPr/>
        <w:t xml:space="preserve">Soit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IV.B.3) Justifier l'existence d'une famille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telle que, pour tout entier </w:t>
      </w:r>
      <m:oMath>
        <m:r>
          <m:rPr>
            <m:sty m:val="i"/>
          </m:rPr>
          <m:t>k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k</m:t>
              </m:r>
            </m:sup>
          </m:sSubSup>
        </m:oMath>
      </m:oMathPara>
    </w:p>
    <w:p>
      <w:pPr>
        <w:spacing w:after="220" w:lineRule="auto"/>
      </w:pPr>
      <w:r>
        <w:rPr/>
        <w:t xml:space="preserve">IV.B.4) On choisit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soit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un équivalent simple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k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non nul à partir d'un certain rang.</w:t>
      </w:r>
      <w:r>
        <w:rPr/>
        <w:br w:type="textWrapping"/>
      </w:r>
      <w:r>
        <w:rPr/>
        <w:t xml:space="preserve">c)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IV.B.5) Une fois obtenue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comment peut-on construire une suite qui converge vers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 On ne demande pas de justification.</w:t>
      </w:r>
    </w:p>
    <w:p>
      <w:pPr>
        <w:spacing w:line="271" w:before="330" w:lineRule="auto"/>
      </w:pPr>
      <w:r>
        <w:rPr>
          <w:b/>
          <w:sz w:val="42"/>
        </w:rPr>
        <w:t xml:space="preserve">IV.C - Illustration sur un exemple</w:t>
      </w:r>
    </w:p>
    <w:p>
      <w:pPr>
        <w:spacing w:after="220" w:lineRule="auto"/>
      </w:pPr>
      <w:r>
        <w:rPr/>
        <w:t xml:space="preserve">Dans cette partie, on choisit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IV.C.1) Calculer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déterminer les deux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avec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Préciser la relation de récurrence vérifiée par les suites de l'espace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IV.C.3) En prenant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écrire des instructions en Maple ou Mathematica permettant de calculer les 10 premiers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IV.C.4) Calculer ces 10 premiers termes et déterminer le plus petit entier naturel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soit une valeur approchée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