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 modèle probabiliste de ferromagnétisme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désignent des ensembles finis, et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fonction définie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à valeurs réelles, alors on note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⋯</m:t>
          </m:r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rappelle que, pour 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variables aléatoires réelles finies sur un univers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la formule de transfert s'écrit :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à valeurs réelles,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réels.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, on obtient l'ensemble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réelles de taille </w:t>
      </w:r>
      <m:oMath>
        <m:r>
          <m:rPr>
            <m:sty m:val="i"/>
          </m:rPr>
          <m:t>n</m:t>
        </m:r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Problématique et 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un modèle de ferromagnétisme : un matériau est constitué de particules qui peuvent, chacune, être orientées dans un sens ou un autre, Nord (+1) ou Sud (-1). Elles sont soumises, d'une part à un champ magnétique extérieur, d'autre part à une température extérieure qui a tendance à les agiter dans tous les sens, et enfin à une interaction locale qui a tendance à les aligner dans le même sens.</w:t>
      </w:r>
      <w:r>
        <w:rPr/>
        <w:br w:type="textWrapping"/>
      </w:r>
      <w:r>
        <w:rPr/>
        <w:t xml:space="preserve">Dans tout le sujet,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,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est un réel strictement positif, qui représente l'inverse de la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matrice symétrique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appelée matrice d'interaction.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mesure l'interaction entre les particules numérotées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une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β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mesure l'énergie de la configuration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couplée avec un champ magnétique extérieur d'intensité </w:t>
      </w:r>
      <m:oMath>
        <m:r>
          <m:rPr>
            <m:sty m:val="i"/>
          </m:rPr>
          <m:t>h</m:t>
        </m:r>
      </m:oMath>
      <w:r>
        <w:rPr/>
        <w:t xml:space="preserve">. Le premier terme dans son expression est l'interaction locale des particules.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alors,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étant fixé,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de variables aléatoires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tel que,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la probabilité 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prenne la valeur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proportionnelle à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, c'est-à-dire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introduit la variable aléatoire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, puis les fonctions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⟼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enfin, sous réserve d'existence,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 les limites simples des suites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La fonction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appelée magnétisation et la fonction </w:t>
      </w:r>
      <m:oMath>
        <m:r>
          <m:rPr>
            <m:sty m:val="i"/>
          </m:rPr>
          <m:t>ψ</m:t>
        </m:r>
      </m:oMath>
      <w:r>
        <w:rPr/>
        <w:t xml:space="preserve">, pression.</w:t>
      </w:r>
      <w:r>
        <w:rPr/>
        <w:br w:type="textWrapping"/>
      </w:r>
      <w:r>
        <w:rPr>
          <w:rFonts w:eastAsia="Georgia" w:cs="Georgia" w:ascii="Georgia" w:hAnsi="Georgia"/>
        </w:rPr>
        <w:t xml:space="preserve">Ce problème est constitué de deux parties indépendantes A et B 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La partie A consiste en l'étude du spectre de la matrice d'interaction dans plusieurs cas particuliers. Elle est elle-même découpée en cinq sous-parties, lesquelles sont indépendantes, à l'exception de la sous-partie V, qui fait appel à des résultats de la sous-partie IV.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La partie B utilise des notations introduites dans la première mais en est totalement indépendante. Elle consiste en l'étude de la convergence de la magnétisation. Elle est elle-même découpée en quatre sous-parties.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sous-partie I comporte une seule question préliminaire.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sous-partie II se concentre sur le modèle d'Ising. On y montre que les particules ne conservent pas d'aimantation lorsque l'on retire le champ magnétique extérieur.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Les sous-parties III et IV sont indépendantes de la sous-partie II. Elles explorent le cas particulier du modèle de Curie-Weiss. Dans la sous-partie III, on montre que la conservation de l'aimantation dépend de la valeur de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par rapport à 1 . Dans la sous-partie IV, on étudie le comportement asymptotique du champ magnétique moyen au point critique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sans champ magnétique extérieur.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Étude du spectre de la matrice d'interaction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Quelques inégalités générales</w:t>
      </w:r>
    </w:p>
    <w:p>
      <w:pPr>
        <w:spacing w:after="220" w:lineRule="auto"/>
      </w:pPr>
      <w:r>
        <w:rPr/>
        <w:t xml:space="preserve">Q1. Expliquer pourquoi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diagonalisable.</w:t>
      </w:r>
      <w:r>
        <w:rPr/>
        <w:br w:type="textWrapping"/>
      </w:r>
      <w:r>
        <w:rPr/>
        <w:t xml:space="preserve">Q2.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la plus grande des valeurs propres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min </m:t>
            </m:r>
          </m:sub>
        </m:sSub>
      </m:oMath>
      <w:r>
        <w:rPr/>
        <w:t xml:space="preserve"> la plus petite.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max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β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max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β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Q4. Donner un encadrement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le cas où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plus une matrice orthogonale distincte de </w:t>
      </w:r>
      <m:oMath>
        <m:r>
          <m:rPr>
            <m:sty m:val="p"/>
          </m:rPr>
          <m:t>±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Plus généralement, l'étude du spectre complet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présente un intérêt physique pour l'étude du modèle. Dans cette partie, on s'intéresse à quelques cas particuliers.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Le modèle de Curie-Weiss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C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valent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, à l'exception de ses coefficients diagonaux, qui sont nuls. Chaque particule interagit donc de la même façon avec toutes les autres particules.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Déterminer le spectre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C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celui de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C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Le modèle sinus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Q6. Montrer que, pour tous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En déduire que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est une matrice orthogonale symétrique.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- Le modèle d'Ising unidimensionnel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ou 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remarque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pose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Vérifier que,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est la matrice dont,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9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vaut 1 si les sommets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du graphe ci-contre sont reliés par une arrête et vaut 0 sinon. Cela signifie que chaque particule n'est en interaction qu'avec ses deux voisins les plus proches.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647950" cy="2752725"/>
            <wp:effectExtent b="0" l="0" r="0" t="0"/>
            <wp:docPr id="1" name="image-bd059afa58018a8735c22dfd9a82d5eb006ea015.jpg"/>
            <a:graphic>
              <a:graphicData uri="http://schemas.openxmlformats.org/drawingml/2006/picture">
                <pic:pic>
                  <pic:nvPicPr>
                    <pic:cNvPr id="1" name="image-bd059afa58018a8735c22dfd9a82d5eb006ea015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52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Écrire, en langage Python, une fonction mat_adj (graphe) qui prend en argument un graphe de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sommets, orienté ou non, représenté par un dictionnaire ayant pour clefs les entiers de 0 à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pour valeur associée à une telle clef la liste d'adjacence du sommet correspondant, et qui renvoie, en respectant l'énumération des sommets, la matrice d'adjacence de ce graphe.</w:t>
      </w:r>
      <w:r>
        <w:rPr/>
        <w:br w:type="textWrapping"/>
      </w:r>
      <w:r>
        <w:rPr>
          <w:rFonts w:eastAsia="Georgia" w:cs="Georgia" w:ascii="Georgia" w:hAnsi="Georgia"/>
        </w:rPr>
        <w:t xml:space="preserve">Ainsi mat_adj </w:t>
      </w:r>
      <m:oMath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 doit renvoyer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Q10.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En déduire un polynôme annulateur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puis son spectre.</w:t>
      </w:r>
      <w:r>
        <w:rPr/>
        <w:br w:type="textWrapping"/>
      </w:r>
      <w:r>
        <w:rPr>
          <w:rFonts w:eastAsia="Georgia" w:cs="Georgia" w:ascii="Georgia" w:hAnsi="Georgia"/>
        </w:rPr>
        <w:t xml:space="preserve">Q12. En déduire que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admet les valeurs propres suivantes, énumérées avec leur multiplicité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- Le modèle d'Ising bidimensionnel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 Soient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u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v</m:t>
                  </m:r>
                </m:e>
              </m:mr>
            </m:m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le produit de Kronecker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, et on note </w:t>
      </w:r>
      <m:oMath>
        <m:r>
          <m:rPr>
            <m:sty m:val="i"/>
          </m:rPr>
          <m:t>A</m:t>
        </m:r>
        <m:r>
          <m:rPr>
            <m:sty m:val="p"/>
          </m:rPr>
          <m:t>⊗</m:t>
        </m:r>
        <m:r>
          <m:rPr>
            <m:sty m:val="i"/>
          </m:rPr>
          <m:t>B</m:t>
        </m:r>
      </m:oMath>
      <w:r>
        <w:rPr/>
        <w:t xml:space="preserve">,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est définie par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 blocs de taille </w:t>
      </w:r>
      <m:oMath>
        <m:r>
          <m:rPr>
            <m:sty m:val="i"/>
          </m:rPr>
          <m:t>r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telle manière que,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le bloc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B</m:t>
        </m:r>
      </m:oMath>
      <w:r>
        <w:rPr/>
        <w:t xml:space="preserve">. Autrement dit,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⊗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22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Outre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, on se donne encore deux entiers naturels non nuls,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Q13. Montrer que </w:t>
      </w:r>
      <m:oMath>
        <m:r>
          <m:rPr>
            <m:sty m:val="p"/>
          </m:rPr>
          <m:t>⊗</m:t>
        </m:r>
      </m:oMath>
      <w:r>
        <w:rPr>
          <w:rFonts w:eastAsia="Georgia" w:cs="Georgia" w:ascii="Georgia" w:hAnsi="Georgia"/>
        </w:rPr>
        <w:t xml:space="preserve"> est une application bilinéaire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Q14. Montrer que, pour toutes matrices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⊗</m:t>
        </m:r>
        <m:r>
          <m:rPr>
            <m:sty m:val="i"/>
          </m:rPr>
          <m:t>B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⊗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Q15.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sont diagonalisables, alors </w:t>
      </w:r>
      <m:oMath>
        <m:r>
          <m:rPr>
            <m:sty m:val="i"/>
          </m:rPr>
          <m:t>A</m:t>
        </m:r>
        <m:r>
          <m:rPr>
            <m:sty m:val="p"/>
          </m:rPr>
          <m:t>⊗</m:t>
        </m:r>
        <m:r>
          <m:rPr>
            <m:sty m:val="i"/>
          </m:rPr>
          <m:t>B</m:t>
        </m:r>
      </m:oMath>
      <w:r>
        <w:rPr/>
        <w:t xml:space="preserve"> est diagonalisable et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⊗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λ</m:t>
          </m:r>
          <m:r>
            <m:rPr>
              <m:sty m:val="i"/>
            </m:rPr>
            <m:t>μ</m:t>
          </m:r>
          <m:r>
            <m:rPr>
              <m:sty m:val="p"/>
            </m:rPr>
            <m:t>∣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∈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commencer par déterminer l'inverse du produit de Kronecker de deux matrices inversibles.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⊗</m:t>
          </m:r>
          <m:sSubSup>
            <m:sSubSup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⊗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Vérifier que,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est la matrice telle que,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9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vaut 1 si les sommets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du graphe ci-contre sont reliés par une arête (les arêtes comptent qu'elles soient en pointillés ou en plein), et vaut 0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On revient au cas général. Montrer que les valeurs propres de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sont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pour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409950" cy="3524250"/>
            <wp:effectExtent b="0" l="0" r="0" t="0"/>
            <wp:docPr id="2" name="image-be1ce8893c18522848689790a2b26efab942b24c.jpg"/>
            <a:graphic>
              <a:graphicData uri="http://schemas.openxmlformats.org/drawingml/2006/picture">
                <pic:pic>
                  <pic:nvPicPr>
                    <pic:cNvPr id="2" name="image-be1ce8893c18522848689790a2b26efab942b24c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524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B - Étude de la convergence de la magnétisation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reprend les notations de la précédente mais les résultats sont totalement indépendants.</w:t>
      </w:r>
      <w:r>
        <w:rPr/>
        <w:br w:type="textWrapping"/>
      </w:r>
      <w:r>
        <w:rPr/>
        <w:t xml:space="preserve">On se donne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Magnétisation spontanée</w:t>
      </w:r>
    </w:p>
    <w:p>
      <w:pPr>
        <w:spacing w:after="220" w:lineRule="auto"/>
      </w:pPr>
      <w:r>
        <w:rPr/>
        <w:t xml:space="preserve">Q18. Justifier que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que </w:t>
      </w:r>
      <m:oMath>
        <m:sSubSup>
          <m:sSubSup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admet que, lorsque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alors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lim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lim</m:t>
        </m:r>
        <m:sSubSup>
          <m:sSubSup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c'est-à-dire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,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Enfin on note (toujours sous réserve d'existence)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magnétisation spontanée : il s'agit du champ magnétique moyen lorsque l'on fait tendre le champ magnétique extérieur vers 0 . S'il reste strictement positif, les particules conservent une aimantation. Ce n'est pas le cas s'il est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Le modèle d'Ising</w:t>
      </w:r>
    </w:p>
    <w:p>
      <w:pPr>
        <w:spacing w:after="220" w:lineRule="auto"/>
      </w:pPr>
      <w:r>
        <w:rPr/>
        <w:t xml:space="preserve">Dans cette sous-partie, on suppose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, matrice introduite dans la sous-partie A-IV.</w:t>
      </w:r>
      <w:r>
        <w:rPr/>
        <w:br w:type="textWrapping"/>
      </w:r>
      <w:r>
        <w:rPr/>
        <w:t xml:space="preserve">On adoptera la convention suivante :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Vérifier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β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/>
        <w:t xml:space="preserve">Q20. Montrer que, pour tous entiers naturels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supérieurs ou égaux à 2 , pour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M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produit valant 1 dans le cas 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β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h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β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h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β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h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β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h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Q21. Montrer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où tr désigne la trace d'une matrice carrée.</w:t>
      </w:r>
      <w:r>
        <w:rPr/>
        <w:br w:type="textWrapping"/>
      </w:r>
      <w:r>
        <w:rPr>
          <w:rFonts w:eastAsia="Georgia" w:cs="Georgia" w:ascii="Georgia" w:hAnsi="Georgia"/>
        </w:rPr>
        <w:t xml:space="preserve">Q22. Déterminer les valeurs propres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Q23. Montrer alors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β</m:t>
                  </m:r>
                </m:sup>
              </m:sSup>
              <m:r>
                <m:rPr>
                  <m:sty m:val="p"/>
                </m:rPr>
                <m:t>ch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β</m:t>
                      </m:r>
                    </m:sup>
                  </m:sSup>
                  <m:sSup>
                    <m:sSupPr/>
                    <m:e>
                      <m:r>
                        <m:rPr>
                          <m:sty m:val="p"/>
                        </m:rPr>
                        <m:t>ch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sh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)</m:t>
                  </m:r>
                </m:e>
              </m:ra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En déduire une expression de la fonction </w:t>
      </w:r>
      <m:oMath>
        <m:r>
          <m:rPr>
            <m:sty m:val="i"/>
          </m:rPr>
          <m:t>m</m:t>
        </m:r>
      </m:oMath>
      <w:r>
        <w:rPr/>
        <w:t xml:space="preserve"> et conclure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Le modèle de Curie-Weiss</w:t>
      </w:r>
    </w:p>
    <w:p>
      <w:pPr>
        <w:spacing w:after="220" w:lineRule="auto"/>
      </w:pPr>
      <w:r>
        <w:rPr/>
        <w:t xml:space="preserve">Dans cette sous-partie, on suppose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C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, matrice introduite dans la sous-partie A-II.</w:t>
      </w:r>
      <w:r>
        <w:rPr/>
        <w:br w:type="textWrapping"/>
      </w:r>
      <w:r>
        <w:rPr/>
        <w:t xml:space="preserve">Q25.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Vérifier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β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β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Q26.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converge. On admet que sa valeur est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Q27.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a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Q28.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β</m:t>
                      </m:r>
                    </m:sup>
                  </m:sSup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β</m:t>
                  </m:r>
                </m:den>
              </m:f>
            </m:e>
          </m:rad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β</m:t>
                  </m:r>
                </m:den>
              </m:f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Q29.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β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Q30.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β</m:t>
                      </m:r>
                    </m:sup>
                  </m:sSup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β</m:t>
                  </m:r>
                </m:den>
              </m:f>
            </m:e>
          </m:rad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Q31. En distinguant les cas selon que </w:t>
      </w:r>
      <m:oMath>
        <m:r>
          <m:rPr>
            <m:sty m:val="i"/>
          </m:rPr>
          <m:t>β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admet un minimum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atteint en un unique point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 Montrer de plus que</w:t>
      </w:r>
      <w:r>
        <w:rPr/>
        <w:br w:type="textWrapping"/>
      </w:r>
      <w:r>
        <w:rPr/>
        <w:t xml:space="preserve">(a) si </w:t>
      </w:r>
      <m:oMath>
        <m:r>
          <m:rPr>
            <m:sty m:val="i"/>
          </m:rPr>
          <m:t>β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(c) quel que soit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</w:t>
      </w:r>
      <w:r>
        <w:rPr/>
        <w:br w:type="textWrapping"/>
      </w:r>
      <w:r>
        <w:rPr/>
        <w:t xml:space="preserve">(i)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β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;</w:t>
      </w:r>
      <w:r>
        <w:rPr/>
        <w:br w:type="textWrapping"/>
      </w:r>
      <w:r>
        <w:rPr/>
        <w:t xml:space="preserve">(iii)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lorsque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Q32. Justifier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atteint son minimum sur </w:t>
      </w:r>
      <m:oMath>
        <m:r>
          <m:rPr>
            <m:scr m:val="double-struck"/>
          </m:rPr>
          <m:t>R</m:t>
        </m:r>
      </m:oMath>
      <w:r>
        <w:rPr/>
        <w:t xml:space="preserve"> en un unique point qui est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Q33. On note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p"/>
          </m:rPr>
          <m:t>min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h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β</m:t>
                  </m:r>
                </m:sup>
              </m:sSup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β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sSub>
                    <m:sSubPr/>
                    <m:e>
                      <m:acc>
                        <m:accPr>
                          <m:chr m:val="̂"/>
                        </m:accPr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</m:acc>
                    </m:e>
                    <m:sub>
                      <m:r>
                        <m:rPr>
                          <m:sty m:val="i"/>
                        </m:rPr>
                        <m:t>h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e>
                          </m:rad>
                        </m:den>
                      </m:f>
                    </m:e>
                  </m:d>
                </m:sup>
              </m:sSup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Q34. On pose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acc>
                  <m:accPr>
                    <m:chr m:val="̂"/>
                  </m:accPr>
                  <m:e>
                    <m:r>
                      <m:rPr>
                        <m:sty m:val="i"/>
                      </m:rPr>
                      <m:t>G</m:t>
                    </m:r>
                  </m:e>
                </m:acc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est prolongeable en une fonction continue sur </w:t>
      </w:r>
      <m:oMath>
        <m:r>
          <m:rPr>
            <m:scr m:val="double-struck"/>
          </m:rPr>
          <m:t>R</m:t>
        </m:r>
      </m:oMath>
      <w:r>
        <w:rPr/>
        <w:t xml:space="preserve"> tout entier en posant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Q35. Justifier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est minorée par un réel strictement positif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(que l'on ne cherchera pas à déterminer).</w:t>
      </w:r>
      <w:r>
        <w:rPr/>
        <w:br w:type="textWrapping"/>
      </w:r>
      <w:r>
        <w:rPr/>
        <w:t xml:space="preserve">Q36. Montrer alors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sSub>
                <m:sSubPr/>
                <m:e>
                  <m:acc>
                    <m:accPr>
                      <m:chr m:val="̂"/>
                    </m:accPr>
                    <m:e>
                      <m:r>
                        <m:rPr>
                          <m:sty m:val="i"/>
                        </m:rPr>
                        <m:t>G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</m:e>
              </m:d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t</m:t>
          </m:r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h</m:t>
                      </m:r>
                    </m:sub>
                  </m:sSub>
                </m:den>
              </m:f>
            </m:e>
          </m:rad>
        </m:oMath>
      </m:oMathPara>
    </w:p>
    <w:p>
      <w:pPr>
        <w:spacing w:after="220" w:lineRule="auto"/>
      </w:pPr>
      <w:r>
        <w:rPr/>
        <w:t xml:space="preserve">puis conclure que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Q37. Montrer que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réalise une bijection continue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En déduire que la fonction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h</m:t>
        </m:r>
        <m:r>
          <m:rPr>
            <m:sty m:val="p"/>
          </m:rPr>
          <m:t>⟼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et dérivable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Q38. En déduire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β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Q39. Montrer alors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β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- Convergence en loi pour la loi de Curie-Weiss au point critique</w:t>
      </w:r>
    </w:p>
    <w:p>
      <w:pPr>
        <w:spacing w:after="220" w:lineRule="auto"/>
      </w:pPr>
      <w:r>
        <w:rPr/>
        <w:t xml:space="preserve">Dans cette sous-partie, on suppose toujours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C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 De plus, on suppose que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num>
              <m:den>
                <m:r>
                  <m:rPr>
                    <m:sty m:val="p"/>
                  </m:rPr>
                  <m:t>12</m:t>
                </m:r>
              </m:den>
            </m:f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on considère la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4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Q40. Justifier que,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continue et bornée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la quantité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4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démonstration analogue à celle de la sous-partie précédente permet alors de montrer que,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continue et bornée sur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</m:sub>
          </m:sSub>
          <m:limLow>
            <m:limLowPr/>
            <m:e>
              <m:limUpp>
                <m:limUppPr/>
                <m:e>
                  <m:r>
                    <m:rPr>
                      <m:sty m:val="p"/>
                    </m:rPr>
                    <m:t>→</m:t>
                  </m:r>
                </m:e>
                <m:lim>
                  <m:phant>
                    <m:phantPr/>
                    <m:e>
                      <m:r>
                        <m:rPr>
                          <m:sty m:val="p"/>
                        </m:rPr>
                        <m:t xml:space="preserve"> </m:t>
                      </m:r>
                    </m:e>
                  </m:phant>
                </m:lim>
              </m:limUpp>
            </m:e>
            <m:lim>
              <m:phant>
                <m:phantPr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Low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Q41.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et soit </w:t>
      </w:r>
      <m:oMath>
        <m:r>
          <m:rPr>
            <m:sty m:val="i"/>
          </m:rPr>
          <m:t>f</m:t>
        </m:r>
      </m:oMath>
      <w:r>
        <w:rPr/>
        <w:t xml:space="preserve"> une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-lipschitzienne et bornée sur </w:t>
      </w:r>
      <m:oMath>
        <m:r>
          <m:rPr>
            <m:scr m:val="double-struck"/>
          </m:rPr>
          <m:t>R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rPr>
                              <m:sty m:val="p"/>
                            </m:rPr>
                            <m:t>4</m:t>
                          </m:r>
                        </m:sup>
                      </m:s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4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4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limLow>
            <m:limLowPr/>
            <m:e>
              <m:limUpp>
                <m:limUppPr/>
                <m:e>
                  <m:r>
                    <m:rPr>
                      <m:sty m:val="p"/>
                    </m:rPr>
                    <m:t>→</m:t>
                  </m:r>
                </m:e>
                <m:lim>
                  <m:phant>
                    <m:phantPr/>
                    <m:e>
                      <m:r>
                        <m:rPr>
                          <m:sty m:val="p"/>
                        </m:rPr>
                        <m:t xml:space="preserve"> </m:t>
                      </m:r>
                    </m:e>
                  </m:phant>
                </m:lim>
              </m:limUpp>
            </m:e>
            <m:lim>
              <m:phant>
                <m:phantPr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Low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se donne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k</m:t>
        </m:r>
      </m:oMath>
      <w:r>
        <w:rPr/>
        <w:t xml:space="preserve"> un entier naturel non nul tel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ε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. On définit la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⟼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Q42.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k</m:t>
        </m:r>
      </m:oMath>
      <w:r>
        <w:rPr/>
        <w:t xml:space="preserve">-lipschitzienne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Q43. En déduire qu'il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4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ε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Q44. Montrer finalement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4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bd059afa58018a8735c22dfd9a82d5eb006ea015.jpg" TargetMode="Internal"/><Relationship Id="rId6" Type="http://schemas.openxmlformats.org/officeDocument/2006/relationships/image" Target="media/image-be1ce8893c18522848689790a2b26efab942b24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2025-08-29T16:04:56.920Z</dcterms:created>
  <dcterms:modified xsi:type="dcterms:W3CDTF">2025-08-29T16:04:56.920Z</dcterms:modified>
</cp:coreProperties>
</file>