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>
          <w:rFonts w:eastAsia="Georgia" w:cs="Georgia" w:ascii="Georgia" w:hAnsi="Georgia"/>
        </w:rPr>
        <w:t xml:space="preserve">ÉPREUVE SPÉCIFIQUE - FILIÈRE TSI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  <w:r>
        <w:rPr/>
        <w:br w:type="textWrapping"/>
      </w: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RAPPEL DES CONSIGNES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Utiliser uniquement un stylo noir ou bleu foncé non effaçable pour la rédaction de votre composition ; d'autres couleurs, excepté le vert, bleu clair ou turquoise, peuvent être utilisées, mais exclusivement pour les schémas et la mise en évidence des résultats.</w:t>
      </w:r>
    </w:p>
    <w:p>
      <w:pPr>
        <w:numPr>
          <w:ilvl w:val="0"/>
          <w:numId w:val="1"/>
        </w:numPr>
        <w:spacing w:lineRule="auto"/>
      </w:pPr>
      <w:r>
        <w:rPr/>
        <w:t xml:space="preserve">Ne pas utiliser de correcteur.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Écrire le mot FIN à la fin de votre composition.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d'un exercice et de deux problèmes indépendants.</w:t>
      </w:r>
    </w:p>
    <w:p>
      <w:pPr>
        <w:spacing w:line="271" w:before="330" w:lineRule="auto"/>
      </w:pPr>
      <w:r>
        <w:rPr>
          <w:b/>
          <w:sz w:val="42"/>
        </w:rPr>
        <w:t xml:space="preserve">EXERCICE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Autour de la série harmonique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 exercice, on s'intéresse à la série harmonique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 but est de démontrer que celle-ci est une série divergente. On donne ensuite une application probabiliste des résultats obtenus.</w:t>
      </w:r>
    </w:p>
    <w:p>
      <w:pPr>
        <w:spacing w:after="220" w:lineRule="auto"/>
      </w:pPr>
      <w:r>
        <w:rPr/>
        <w:t xml:space="preserve">On pose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≥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k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Q1. Énoncer la définition de convergence pour une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nombres réels ou complexes.</w:t>
      </w:r>
      <w:r>
        <w:rPr/>
        <w:br w:type="textWrapping"/>
      </w:r>
      <w:r>
        <w:rPr>
          <w:rFonts w:eastAsia="Georgia" w:cs="Georgia" w:ascii="Georgia" w:hAnsi="Georgia"/>
        </w:rPr>
        <w:t xml:space="preserve">Q2. Pour quelle(s) valeur(s) du réel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,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</m:den>
        </m:f>
      </m:oMath>
      <w:r>
        <w:rPr/>
        <w:t xml:space="preserve"> est-elle convergente?</w:t>
      </w:r>
      <w:r>
        <w:rPr/>
        <w:br w:type="textWrapping"/>
      </w:r>
      <w:r>
        <w:rPr/>
        <w:t xml:space="preserve">Q3.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i"/>
                </m:rPr>
                <m:t>x</m:t>
              </m:r>
            </m:sup>
          </m:sSup>
          <m:r>
            <m:rPr>
              <m:sty m:val="p"/>
            </m:rPr>
            <m:t>≥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Q4. En déduire alors que: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≥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sSub>
                <m:sSubPr/>
                <m:e>
                  <m:r>
                    <m:rPr>
                      <m:sty m:val="i"/>
                    </m:rPr>
                    <m:t>H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sup>
          </m:sSup>
          <m:r>
            <m:rPr>
              <m:sty m:val="p"/>
            </m:rPr>
            <m:t>≥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puis, en remarquant l'égalité </w:t>
      </w:r>
      <m:oMath>
        <m:r>
          <m:rPr>
            <m:sty m:val="p"/>
          </m:rPr>
          <m:t>1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</m:den>
        </m:f>
      </m:oMath>
      <w:r>
        <w:rPr/>
        <w:t xml:space="preserve">, que pour tout entier naturel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e</m:t>
            </m:r>
          </m:e>
          <m:sup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p>
        </m:sSup>
        <m:r>
          <m:rPr>
            <m:sty m:val="p"/>
          </m:rPr>
          <m:t>≥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Q5. Montrer que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sSub>
                <m:sSubPr/>
                <m:e>
                  <m:r>
                    <m:rPr>
                      <m:sty m:val="i"/>
                    </m:rPr>
                    <m:t>H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la divergence de la série harmonique.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Une urne contient initialement une boule noire. On effectue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tirages dans l'urne de la manière suivante :</w:t>
      </w:r>
    </w:p>
    <w:p>
      <w:pPr>
        <w:numPr>
          <w:ilvl w:val="0"/>
          <w:numId w:val="2"/>
        </w:numPr>
        <w:spacing w:lineRule="auto"/>
      </w:pPr>
      <w:r>
        <w:rPr/>
        <w:t xml:space="preserve">au cours de chaque tirage, on tire une boule de l'urne, puis on la remet dans celle-ci en y ajoutant une boule blanche;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on considère les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tirages indépendants.</w:t>
      </w:r>
    </w:p>
    <w:p>
      <w:pPr>
        <w:spacing w:after="220" w:lineRule="auto"/>
      </w:pPr>
      <w:r>
        <w:rPr/>
        <w:t xml:space="preserve">Pour tout entier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la variable aléatoire définie par :</w:t>
      </w:r>
    </w:p>
    <w:p>
      <w:pPr>
        <w:numPr>
          <w:ilvl w:val="0"/>
          <w:numId w:val="3"/>
        </w:numPr>
        <w:spacing w:lineRule="auto"/>
      </w:pP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si la boule tirée lors du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-ième tirage est blanche;</w:t>
      </w:r>
    </w:p>
    <w:p>
      <w:pPr>
        <w:numPr>
          <w:ilvl w:val="0"/>
          <w:numId w:val="3"/>
        </w:numPr>
        <w:spacing w:lineRule="auto"/>
      </w:pP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si la boule tirée lors du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-ième tirage est noire.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enfin la variable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par: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Q6. Que représente la variable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Q7.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Reconnaître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et préciser son espérance.</w:t>
      </w:r>
      <w:r>
        <w:rPr/>
        <w:br w:type="textWrapping"/>
      </w:r>
      <w:r>
        <w:rPr>
          <w:rFonts w:eastAsia="Georgia" w:cs="Georgia" w:ascii="Georgia" w:hAnsi="Georgia"/>
        </w:rPr>
        <w:t xml:space="preserve">Q8. Vérifier que l'espérance de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Q9. En utilisant Q4, déterminer une valeur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pour laquelle on peut espérer obtenir en moyenne au moins 4 fois la boule noire.</w:t>
      </w:r>
      <w:r>
        <w:rPr/>
        <w:br w:type="textWrapping"/>
      </w:r>
      <w:r>
        <w:rPr/>
        <w:t xml:space="preserve">On pourra utiliser le fait suivant :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  <m:r>
              <m:rPr>
                <m:sty m:val="p"/>
              </m:rPr>
              <m:t>∈</m:t>
            </m:r>
          </m:e>
        </m:d>
        <m:r>
          <m:rPr>
            <m:sty m:val="p"/>
          </m:rPr>
          <m:t>54</m:t>
        </m:r>
        <m:r>
          <m:rPr>
            <m:sty m:val="p"/>
          </m:rPr>
          <m:t>,</m:t>
        </m:r>
        <m:r>
          <m:rPr>
            <m:sty m:val="p"/>
          </m:rPr>
          <m:t>55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1</w:t>
      </w:r>
      <w:r>
        <w:rPr>
          <w:b/>
          <w:sz w:val="42"/>
        </w:rPr>
        <w:br w:type="textWrapping"/>
      </w:r>
      <w:r>
        <w:rPr>
          <w:rFonts w:eastAsia="Georgia" w:cs="Georgia" w:ascii="Georgia" w:hAnsi="Georgia"/>
          <w:b/>
          <w:sz w:val="42"/>
        </w:rPr>
        <w:t xml:space="preserve"> Étude de matrices tridiagonales particulières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Présentation générale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 problème est d'étudier quelques propriétés (diagonalisabilité, valeur du déterminant) de certaines matrices tridiagonales.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Plus précisément, pour un entier naturel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on considère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couples de nombres complexes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, pour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variant de 1 à </w:t>
      </w:r>
      <m:oMath>
        <m:r>
          <m:rPr>
            <m:sty m:val="i"/>
          </m:rPr>
          <m:t>n</m:t>
        </m:r>
      </m:oMath>
      <w:r>
        <w:rPr/>
        <w:t xml:space="preserve">, tels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on s'intéressera alors à la matrice suivante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posera également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(matrice carrée d'ordre 1 dont le seul coefficient vaut 1).</w:t>
      </w:r>
      <w:r>
        <w:rPr/>
        <w:br w:type="textWrapping"/>
      </w:r>
      <w:r>
        <w:rPr>
          <w:rFonts w:eastAsia="Georgia" w:cs="Georgia" w:ascii="Georgia" w:hAnsi="Georgia"/>
        </w:rPr>
        <w:t xml:space="preserve">Les quatre parties de ce problème sont indépendantes. Elles peuvent être traitées séparément.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numPr>
          <w:ilvl w:val="0"/>
          <w:numId w:val="4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polynôme caractéristique d'une matrice carrée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le sous-espace propre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associé à un scalaire </w:t>
      </w:r>
      <m:oMath>
        <m:r>
          <m:rPr>
            <m:sty m:val="i"/>
          </m:rPr>
          <m:t>λ</m:t>
        </m:r>
      </m:oMath>
      <w:r>
        <w:rPr/>
        <w:t xml:space="preserve">;</w:t>
      </w:r>
    </w:p>
    <w:p>
      <w:pPr>
        <w:numPr>
          <w:ilvl w:val="0"/>
          <w:numId w:val="4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(respectivement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) l'espace vectoriel des matrices carrées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cr m:val="double-struck"/>
          </m:rPr>
          <m:t>C</m:t>
        </m:r>
      </m:oMath>
      <w:r>
        <w:rPr/>
        <w:t xml:space="preserve"> (respectivement dans </w:t>
      </w:r>
      <m:oMath>
        <m:r>
          <m:rPr>
            <m:scr m:val="double-struck"/>
          </m:rPr>
          <m:t>R</m:t>
        </m:r>
      </m:oMath>
      <w:r>
        <w:rPr/>
        <w:t xml:space="preserve"> );</w:t>
      </w:r>
    </w:p>
    <w:p>
      <w:pPr>
        <w:numPr>
          <w:ilvl w:val="0"/>
          <w:numId w:val="4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(respectivement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) l'espace vectoriel des matrices colonnes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lignes à coefficients dans </w:t>
      </w:r>
      <m:oMath>
        <m:r>
          <m:rPr>
            <m:scr m:val="double-struck"/>
          </m:rPr>
          <m:t>C</m:t>
        </m:r>
      </m:oMath>
      <w:r>
        <w:rPr/>
        <w:t xml:space="preserve"> (respectivement dans </w:t>
      </w:r>
      <m:oMath>
        <m:r>
          <m:rPr>
            <m:scr m:val="double-struck"/>
          </m:rPr>
          <m:t>R</m:t>
        </m:r>
      </m:oMath>
      <w:r>
        <w:rPr/>
        <w:t xml:space="preserve"> );</w:t>
      </w:r>
    </w:p>
    <w:p>
      <w:pPr>
        <w:numPr>
          <w:ilvl w:val="0"/>
          <w:numId w:val="4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identité d'ordre </w:t>
      </w:r>
      <m:oMath>
        <m:r>
          <m:rPr>
            <m:sty m:val="i"/>
          </m:rPr>
          <m:t>n</m:t>
        </m:r>
      </m:oMath>
      <w:r>
        <w:rPr/>
        <w:t xml:space="preserve">;</w:t>
      </w:r>
    </w:p>
    <w:p>
      <w:pPr>
        <w:numPr>
          <w:ilvl w:val="0"/>
          <w:numId w:val="4"/>
        </w:numPr>
        <w:spacing w:lineRule="auto"/>
      </w:pPr>
      <w:r>
        <w:rPr/>
        <w:t xml:space="preserve">on note </w:t>
      </w:r>
      <m:oMath>
        <m:acc>
          <m:accPr>
            <m:chr m:val="‾"/>
          </m:accPr>
          <m:e>
            <m:r>
              <m:rPr>
                <m:sty m:val="i"/>
              </m:rPr>
              <m:t>z</m:t>
            </m:r>
          </m:e>
        </m:acc>
      </m:oMath>
      <w:r>
        <w:rPr>
          <w:rFonts w:eastAsia="Georgia" w:cs="Georgia" w:ascii="Georgia" w:hAnsi="Georgia"/>
        </w:rPr>
        <w:t xml:space="preserve"> le conjugué d'un nombre complexe </w:t>
      </w:r>
      <m:oMath>
        <m:r>
          <m:rPr>
            <m:sty m:val="i"/>
          </m:rPr>
          <m:t>z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 - Un exemple dans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M</m:t>
            </m:r>
          </m:e>
          <m:sub>
            <m:r>
              <m:rPr>
                <m:sty m:val="p"/>
              </m:rPr>
              <w:rPr>
                <w:sz w:val="42"/>
              </w:rPr>
              <m:t>3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cr m:val="double-struck"/>
          </m:rPr>
          <w:rPr>
            <w:sz w:val="42"/>
          </w:rPr>
          <m:t>C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considère que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égal à 3 et on pose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s'intéresse donc à la matrice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Q10. Justifier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vérifie bien les données de l'énoncé.</w:t>
      </w:r>
      <w:r>
        <w:rPr/>
        <w:br w:type="textWrapping"/>
      </w:r>
      <w:r>
        <w:rPr>
          <w:rFonts w:eastAsia="Georgia" w:cs="Georgia" w:ascii="Georgia" w:hAnsi="Georgia"/>
        </w:rPr>
        <w:t xml:space="preserve">Q11. Déterminer le rang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et en déduire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admet au moins une valeur propre réelle à préciser.</w:t>
      </w:r>
      <w:r>
        <w:rPr/>
        <w:br w:type="textWrapping"/>
      </w:r>
      <w:r>
        <w:rPr>
          <w:rFonts w:eastAsia="Georgia" w:cs="Georgia" w:ascii="Georgia" w:hAnsi="Georgia"/>
        </w:rPr>
        <w:t xml:space="preserve">Q12. Déterminer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Ce polynôme est-il scindé dans </w:t>
      </w:r>
      <m:oMath>
        <m:r>
          <m:rPr>
            <m:scr m:val="double-struck"/>
          </m:rPr>
          <m:t>R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Q13. Déduire de la question précédente la valeur du déterminant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Q14. Justifier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admet 3 valeurs propres complexes distinctes, dont une seule est réelle et les deux autres conjuguées. En déduire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est diagonalisable dans </w:t>
      </w:r>
      <m:oMath>
        <m:r>
          <m:rPr>
            <m:scr m:val="double-struck"/>
          </m:rPr>
          <m:t>C</m:t>
        </m:r>
      </m:oMath>
      <w:r>
        <w:rPr/>
        <w:t xml:space="preserve"> et donner, sans aucun calcul, la dimension de ses sous-espaces propres.</w:t>
      </w:r>
    </w:p>
    <w:p>
      <w:pPr>
        <w:spacing w:after="220" w:lineRule="auto"/>
      </w:pPr>
      <w:r>
        <w:rPr/>
        <w:t xml:space="preserve">On note dans la suite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l'unique valeur propre réelle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μ</m:t>
        </m:r>
      </m:oMath>
      <w:r>
        <w:rPr/>
        <w:t xml:space="preserve"> l'unique valeur propre complexe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dont la partie imaginaire est strictement positive. Ainsi, les valeurs propres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sont </w:t>
      </w:r>
      <m:oMath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i"/>
          </m:rPr>
          <m:t>μ</m:t>
        </m:r>
      </m:oMath>
      <w:r>
        <w:rPr/>
        <w:t xml:space="preserve"> et </w:t>
      </w:r>
      <m:oMath>
        <m:acc>
          <m:accPr>
            <m:chr m:val="‾"/>
          </m:accPr>
          <m:e>
            <m:r>
              <m:rPr>
                <m:sty m:val="i"/>
              </m:rPr>
              <m:t>μ</m:t>
            </m:r>
          </m:e>
        </m:acc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Q15. Déterminer une base du sous-espace propre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Q16. Déterminer les nombres complexes </w:t>
      </w:r>
      <m:oMath>
        <m:r>
          <m:rPr>
            <m:sty m:val="i"/>
          </m:rPr>
          <m:t>p</m:t>
        </m:r>
      </m:oMath>
      <w:r>
        <w:rPr/>
        <w:t xml:space="preserve"> tels que: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3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p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i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</m:rad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p</m:t>
                    </m:r>
                  </m:e>
                </m:mr>
              </m:m>
            </m:e>
          </m:d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i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2</m:t>
              </m:r>
            </m:e>
          </m:rad>
          <m:r>
            <m:rPr>
              <m:sty m:val="p"/>
            </m:rPr>
            <m:t>)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p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i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</m:rad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p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une base du sous-espace propre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μ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Q17.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une matrice à coefficients réels,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et :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p"/>
                </m:rPr>
                <m:t>3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C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Montrer que si </w:t>
      </w:r>
      <m:oMath>
        <m:r>
          <m:rPr>
            <m:sty m:val="i"/>
          </m:rPr>
          <m:t>X</m:t>
        </m:r>
      </m:oMath>
      <w:r>
        <w:rPr/>
        <w:t xml:space="preserve"> est un vecteur propre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associé à la valeur propre </w:t>
      </w:r>
      <m:oMath>
        <m:r>
          <m:rPr>
            <m:sty m:val="i"/>
          </m:rPr>
          <m:t>z</m:t>
        </m:r>
      </m:oMath>
      <w:r>
        <w:rPr/>
        <w:t xml:space="preserve">, alors le vecteur :</w:t>
      </w:r>
    </w:p>
    <w:p>
      <w:pPr>
        <w:spacing w:after="220" w:lineRule="auto"/>
      </w:pPr>
      <m:oMathPara>
        <m:oMath>
          <m:acc>
            <m:accPr>
              <m:chr m:val="‾"/>
            </m:accPr>
            <m:e>
              <m:r>
                <m:rPr>
                  <m:sty m:val="i"/>
                </m:rPr>
                <m:t>X</m:t>
              </m:r>
            </m:e>
          </m:acc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bar>
                      <m:barPr>
                        <m:pos m:val="top"/>
                      </m:bar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e>
                    </m:bar>
                  </m:e>
                </m:mr>
                <m:mr>
                  <m:e>
                    <m:bar>
                      <m:barPr>
                        <m:pos m:val="top"/>
                      </m:bar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e>
                    </m:bar>
                  </m:e>
                </m:mr>
                <m:mr>
                  <m:e>
                    <m:bar>
                      <m:barPr>
                        <m:pos m:val="top"/>
                      </m:bar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3</m:t>
                            </m:r>
                          </m:sub>
                        </m:sSub>
                      </m:e>
                    </m:bar>
                  </m:e>
                </m:mr>
              </m:m>
            </m:e>
          </m:d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est un vecteur propre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associé à la valeur propre </w:t>
      </w:r>
      <m:oMath>
        <m:acc>
          <m:accPr>
            <m:chr m:val="‾"/>
          </m:accPr>
          <m:e>
            <m:r>
              <m:rPr>
                <m:sty m:val="i"/>
              </m:rPr>
              <m:t>z</m:t>
            </m:r>
          </m:e>
        </m:acc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une base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acc>
              <m:accPr>
                <m:chr m:val="‾"/>
              </m:accPr>
              <m:e>
                <m:r>
                  <m:rPr>
                    <m:sty m:val="i"/>
                  </m:rPr>
                  <m:t>μ</m:t>
                </m:r>
              </m:e>
            </m:acc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Cas général dans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M</m:t>
            </m:r>
          </m:e>
          <m:sub>
            <m:r>
              <m:rPr>
                <m:sty m:val="p"/>
              </m:rPr>
              <w:rPr>
                <w:sz w:val="42"/>
              </w:rPr>
              <m:t>2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cr m:val="double-struck"/>
          </m:rPr>
          <w:rPr>
            <w:sz w:val="42"/>
          </w:rPr>
          <m:t>C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Uniquement dans cette partie, on considère que l'entier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vaut 2 . On s'intéresse donc à la matrice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sont deux nombres complexes tels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Q18. Déterminer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Q19. Si on considère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réels, la matrice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est-elle diagonalisable dans </w:t>
      </w:r>
      <m:oMath>
        <m:r>
          <m:rPr>
            <m:scr m:val="double-struck"/>
          </m:rPr>
          <m:t>R</m:t>
        </m:r>
      </m:oMath>
      <w:r>
        <w:rPr/>
        <w:t xml:space="preserve"> ? Trigonalisable dans </w:t>
      </w:r>
      <m:oMath>
        <m:r>
          <m:rPr>
            <m:scr m:val="double-struck"/>
          </m:rPr>
          <m:t>R</m:t>
        </m:r>
      </m:oMath>
      <w:r>
        <w:rPr/>
        <w:t xml:space="preserve"> ?</w:t>
      </w:r>
      <w:r>
        <w:rPr/>
        <w:br w:type="textWrapping"/>
      </w:r>
      <w:r>
        <w:rPr/>
        <w:t xml:space="preserve">Q20. La matrice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est-elle diagonalisable dans </w:t>
      </w:r>
      <m:oMath>
        <m:r>
          <m:rPr>
            <m:scr m:val="double-struck"/>
          </m:rPr>
          <m:t>C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Aucune diagonalisation effective n'est demandée.</w:t>
      </w:r>
      <w:r>
        <w:rPr/>
        <w:br w:type="textWrapping"/>
      </w:r>
      <w:r>
        <w:rPr>
          <w:rFonts w:eastAsia="Georgia" w:cs="Georgia" w:ascii="Georgia" w:hAnsi="Georgia"/>
        </w:rPr>
        <w:t xml:space="preserve">Q21. Donner la valeur du déterminant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Objectif de la suite du problème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partie III, nous démontrerons certains résultats liés à la suite de Fibonacci.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partie IV, nous déterminerons la valeur du déterminant des matrices tridiagonales vérifiant les conditions de l'énoncé.</w:t>
      </w:r>
    </w:p>
    <w:p>
      <w:pPr>
        <w:spacing w:line="271" w:before="330" w:lineRule="auto"/>
      </w:pPr>
      <w:r>
        <w:rPr>
          <w:b/>
          <w:sz w:val="42"/>
        </w:rPr>
        <w:t xml:space="preserve">Partie III - La suite de Fibonacci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la suite de Fibonacci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de la manière suivante :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≥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Q22. Montrer que pour tout entier naturel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un entier naturel.</w:t>
      </w:r>
      <w:r>
        <w:rPr/>
        <w:br w:type="textWrapping"/>
      </w:r>
      <w:r>
        <w:rPr>
          <w:rFonts w:eastAsia="Georgia" w:cs="Georgia" w:ascii="Georgia" w:hAnsi="Georgia"/>
        </w:rPr>
        <w:t xml:space="preserve">Q23. Résoudre l'équation caractéristique associée à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. En déduire l'expression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tout entier naturel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fonction récursive suivante, prenant en argument un entier naturel </w:t>
      </w:r>
      <m:oMath>
        <m:r>
          <m:rPr>
            <m:sty m:val="i"/>
          </m:rPr>
          <m:t>n</m:t>
        </m:r>
      </m:oMath>
      <w:r>
        <w:rPr/>
        <w:t xml:space="preserve">, et renvoyant la valeur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: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def Fibo(n):</w:t>
        <w:br/>
        <w:t xml:space="preserve">    ''' n : entier naturel.</w:t>
        <w:br/>
        <w:t xml:space="preserve">    Renvoie la valeur de Fn'''</w:t>
        <w:br/>
        <w:t xml:space="preserve">    if n&lt;=1:</w:t>
        <w:br/>
        <w:t xml:space="preserve">        return 1</w:t>
        <w:br/>
        <w:t xml:space="preserve">    return Fibo(n-1)+Fibo(n-2)</w:t>
        <w:br/>
        <w:t xml:space="preserve"/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Q24. Les trois questions suivantes sont liées à la fonction Fibo.</w:t>
      </w:r>
      <w:r>
        <w:rPr/>
        <w:br w:type="textWrapping"/>
      </w:r>
      <w:r>
        <w:rPr>
          <w:rFonts w:eastAsia="Georgia" w:cs="Georgia" w:ascii="Georgia" w:hAnsi="Georgia"/>
        </w:rPr>
        <w:t xml:space="preserve">a) À l'aide d'un schéma, représenter les différents appels récursifs lors de l'exécution de l'instruction Fibo (4).</w:t>
      </w:r>
      <w:r>
        <w:rPr/>
        <w:br w:type="textWrapping"/>
      </w:r>
      <w:r>
        <w:rPr>
          <w:rFonts w:eastAsia="Georgia" w:cs="Georgia" w:ascii="Georgia" w:hAnsi="Georgia"/>
        </w:rPr>
        <w:t xml:space="preserve">b) Expliquer, de manière simple et sans calcul, pourquoi cette fonction a une complexité de calcul élevée.</w:t>
      </w:r>
      <w:r>
        <w:rPr/>
        <w:br w:type="textWrapping"/>
      </w:r>
      <w:r>
        <w:rPr>
          <w:rFonts w:eastAsia="Georgia" w:cs="Georgia" w:ascii="Georgia" w:hAnsi="Georgia"/>
        </w:rPr>
        <w:t xml:space="preserve">c) Écrire une fonction FiboV2, prenant en argument un entier naturel </w:t>
      </w:r>
      <m:oMath>
        <m:r>
          <m:rPr>
            <m:sty m:val="i"/>
          </m:rPr>
          <m:t>n</m:t>
        </m:r>
      </m:oMath>
      <w:r>
        <w:rPr/>
        <w:t xml:space="preserve"> et renvoyant la valeur du terme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Cette fonction ne devra pas être récursive et devra avoir un coût de calcul moins élevé que Fibo.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IV - Calcul du déterminant dans le cas général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reprend les notations de la présentation générale et on considère donc les matrices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tout entier naturel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 On note alors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 déterminant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On rappelle que la suite de Fibonacci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définie de la manière suivante :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≥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Q25. Donner les valeurs de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puis calculer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Q26. Montrer que pour tout entier naturel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On pourra développer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par rapport à la dernière ligne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Q27. En déduire que pour entier naturel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2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Calcul d'une borne inférieure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Présentation générale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L'objectif de ce problème est d'étudier l'existence de la borne inférieure suivante: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r>
            <m:rPr>
              <m:sty m:val="p"/>
            </m:rPr>
            <m:t>inf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1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p>
                            <m:sSupPr/>
                            <m:e>
                              <m:r>
                                <m:rPr>
                                  <m:sty m:val="i"/>
                                </m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i"/>
                            </m:rPr>
                            <m:t>a</m:t>
                          </m:r>
                          <m:r>
                            <m:rPr>
                              <m:sty m:val="i"/>
                            </m:rPr>
                            <m:t>x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i"/>
                            </m:rPr>
                            <m:t>b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x</m:t>
                  </m:r>
                </m:den>
              </m:f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Plus précisément, nous allons montrer que cette borne inférieure existe et est atteinte en un unique couple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)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Deux méthodes seront utilisées:</w:t>
      </w:r>
    </w:p>
    <w:p>
      <w:pPr>
        <w:numPr>
          <w:ilvl w:val="0"/>
          <w:numId w:val="5"/>
        </w:numPr>
        <w:spacing w:lineRule="auto"/>
      </w:pPr>
      <w:r>
        <w:rPr/>
        <w:t xml:space="preserve">I'une, utilisant un produit scalaire sur un espace vectoriel bien choisi;</w:t>
      </w:r>
    </w:p>
    <w:p>
      <w:pPr>
        <w:numPr>
          <w:ilvl w:val="0"/>
          <w:numId w:val="5"/>
        </w:numPr>
        <w:spacing w:lineRule="auto"/>
      </w:pPr>
      <w:r>
        <w:rPr/>
        <w:t xml:space="preserve">l'autre, en minimisant une fonction convenable de deux variables.</w:t>
      </w:r>
    </w:p>
    <w:p>
      <w:pPr>
        <w:spacing w:after="220" w:lineRule="auto"/>
      </w:pPr>
      <w:r>
        <w:rPr/>
        <w:t xml:space="preserve">Dans la suite,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désigne l'espace vectoriel des polynômes à coefficients réels et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le sous-espace vectoriel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constitué des polynômes dont le degré est inférieur ou égal à 1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Étude d'une suite d'intégrales</w:t>
      </w:r>
    </w:p>
    <w:p>
      <w:pPr>
        <w:spacing w:after="220" w:lineRule="auto"/>
      </w:pPr>
      <w:r>
        <w:rPr/>
        <w:t xml:space="preserve">On pose, pour tout entier naturel </w:t>
      </w:r>
      <m:oMath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Q28. Calculer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Q29.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≥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Q30. En déduire les valeurs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et vérifier que: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p"/>
                </m:rPr>
                <m:t>4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7</m:t>
              </m:r>
            </m:num>
            <m:den>
              <m:r>
                <m:rPr>
                  <m:sty m:val="p"/>
                </m:rPr>
                <m:t>12</m:t>
              </m:r>
            </m:den>
          </m:f>
          <m:r>
            <m:rPr>
              <m:sty m:val="p"/>
            </m:rPr>
            <m:t>+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Q31. Montrer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décroissante.</w:t>
      </w:r>
      <w:r>
        <w:rPr/>
        <w:br w:type="textWrapping"/>
      </w:r>
      <w:r>
        <w:rPr/>
        <w:t xml:space="preserve">Q32. Montrer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converge et que sa limite est 0 .</w:t>
      </w:r>
      <w:r>
        <w:rPr/>
        <w:br w:type="textWrapping"/>
      </w:r>
      <w:r>
        <w:rPr/>
        <w:t xml:space="preserve">Q33. Montrer que: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≥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Q34. En déduire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 converge et donner sa somme.</w:t>
      </w:r>
      <w:r>
        <w:rPr/>
        <w:br w:type="textWrapping"/>
      </w:r>
      <w:r>
        <w:rPr/>
        <w:t xml:space="preserve">Q35. En utilisant Q29 et Q31,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≥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en déduire un équivalent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quand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Étude d'un produit scalaire</w:t>
      </w:r>
    </w:p>
    <w:p>
      <w:pPr>
        <w:spacing w:after="220" w:lineRule="auto"/>
      </w:pPr>
      <w:r>
        <w:rPr/>
        <w:t xml:space="preserve">On rappelle que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et on pose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⟨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Q36. Montrer que </w:t>
      </w:r>
      <m:oMath>
        <m:r>
          <m:rPr>
            <m:sty m:val="p"/>
          </m:rPr>
          <m:t>⟨</m:t>
        </m:r>
        <m:r>
          <m:rPr>
            <m:sty m:val="p"/>
          </m:rPr>
          <m:t>⋅</m:t>
        </m:r>
        <m:r>
          <m:rPr>
            <m:sty m:val="p"/>
          </m:rPr>
          <m:t>,</m:t>
        </m:r>
        <m:r>
          <m:rPr>
            <m:sty m:val="p"/>
          </m:rPr>
          <m:t>⋅</m:t>
        </m:r>
        <m:r>
          <m:rPr>
            <m:sty m:val="p"/>
          </m:rPr>
          <m:t>⟩</m:t>
        </m:r>
      </m:oMath>
      <w:r>
        <w:rPr>
          <w:rFonts w:eastAsia="Georgia" w:cs="Georgia" w:ascii="Georgia" w:hAnsi="Georgia"/>
        </w:rPr>
        <w:t xml:space="preserve"> définit un produit scalaire sur </w:t>
      </w:r>
      <m:oMath>
        <m:r>
          <m:rPr>
            <m:sty m:val="i"/>
          </m:rPr>
          <m:t>E</m:t>
        </m:r>
      </m:oMath>
      <w:r>
        <w:rPr/>
        <w:t xml:space="preserve">. On note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la norme associée.</w:t>
      </w:r>
      <w:r>
        <w:rPr/>
        <w:br w:type="textWrapping"/>
      </w:r>
      <w:r>
        <w:rPr/>
        <w:t xml:space="preserve">Q37. Les vecteurs 1 et </w:t>
      </w:r>
      <m:oMath>
        <m:r>
          <m:rPr>
            <m:sty m:val="i"/>
          </m:rPr>
          <m:t>X</m:t>
        </m:r>
      </m:oMath>
      <w:r>
        <w:rPr/>
        <w:t xml:space="preserve"> sont-ils orthogonaux pour ce produit scalaire?</w:t>
      </w:r>
      <w:r>
        <w:rPr/>
        <w:br w:type="textWrapping"/>
      </w:r>
      <w:r>
        <w:rPr/>
        <w:t xml:space="preserve">Q38. On note </w:t>
      </w:r>
      <m:oMath>
        <m:r>
          <m:rPr>
            <m:sty m:val="i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le projeté orthogonal de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Justifier l'existence de deux réels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/>
        <w:t xml:space="preserve"> tels que :</w:t>
      </w:r>
    </w:p>
    <w:p>
      <w:pPr>
        <w:spacing w:after="220" w:lineRule="auto"/>
      </w:pPr>
      <m:oMathPara>
        <m:oMath>
          <m:r>
            <m:rPr>
              <m:sty m:val="i"/>
            </m:rPr>
            <m:t>L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=</m:t>
          </m:r>
          <m:r>
            <m:rPr>
              <m:sty m:val="i"/>
            </m:rPr>
            <m:t>α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β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Q39. Que peut-on dire du polynôme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par rapport à l'espace vectoriel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? En déduire que (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) est solution du système linéaire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i"/>
                      </m:rPr>
                      <m:t>β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i"/>
                      </m:rPr>
                      <m:t>β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Q40. Justifier l'existence du réel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et l'égalité suivante :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sSup>
            <m:sSup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α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β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ne demande pas de simplifier cette expression.</w:t>
      </w:r>
    </w:p>
    <w:p>
      <w:pPr>
        <w:spacing w:line="271" w:before="330" w:lineRule="auto"/>
      </w:pPr>
      <w:r>
        <w:rPr>
          <w:b/>
          <w:sz w:val="42"/>
        </w:rPr>
        <w:t xml:space="preserve">Partie III - Utilisation d'une fonction de deux variables</w:t>
      </w:r>
    </w:p>
    <w:p>
      <w:pPr>
        <w:spacing w:after="220" w:lineRule="auto"/>
      </w:pPr>
      <w:r>
        <w:rPr/>
        <w:t xml:space="preserve">Dans cette partie, on admet l'existence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et le fait que cette borne inférieure soit atteinte en un unique couple de réels. Le but est de déterminer ce couple sans utilisation d'un produit scalaire.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a</m:t>
                      </m:r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b</m:t>
                      </m:r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Q41. Justifier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b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i"/>
            </m:rPr>
            <m:t>a</m:t>
          </m:r>
          <m:r>
            <m:rPr>
              <m:sty m:val="i"/>
            </m:rPr>
            <m:t>b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i"/>
            </m:rPr>
            <m:t>a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i"/>
            </m:rPr>
            <m:t>b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p"/>
                </m:rPr>
                <m:t>4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 n'est pas demandé de remplacer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par leur valeur.</w:t>
      </w:r>
      <w:r>
        <w:rPr/>
        <w:br w:type="textWrapping"/>
      </w:r>
      <w:r>
        <w:rPr/>
        <w:t xml:space="preserve">Q42. Justifier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Q43. Montrer que </w:t>
      </w:r>
      <m:oMath>
        <m:r>
          <m:rPr>
            <m:sty m:val="i"/>
          </m:rPr>
          <m:t>f</m:t>
        </m:r>
      </m:oMath>
      <w:r>
        <w:rPr/>
        <w:t xml:space="preserve"> admet un unique point critique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On pourra utiliser le fait que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p"/>
          </m:rPr>
          <m:t>[</m:t>
        </m:r>
        <m:r>
          <m:rPr>
            <m:sty m:val="p"/>
          </m:rPr>
          <m:t>0.68</m:t>
        </m:r>
        <m:r>
          <m:rPr>
            <m:sty m:val="p"/>
          </m:rPr>
          <m:t>,</m:t>
        </m:r>
        <m:r>
          <m:rPr>
            <m:sty m:val="p"/>
          </m:rPr>
          <m:t>0.7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Q44. Répondre au problème posé en déterminant le couple cherché.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2025-08-29T16:04:43.197Z</dcterms:created>
  <dcterms:modified xsi:type="dcterms:W3CDTF">2025-08-29T16:04:43.197Z</dcterms:modified>
</cp:coreProperties>
</file>