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</w:t>
      </w:r>
    </w:p>
    <w:p>
      <w:pPr>
        <w:spacing w:after="220" w:lineRule="auto"/>
      </w:pPr>
      <w:r>
        <w:rPr/>
        <w:t xml:space="preserve">Mardi 2 mai : </w:t>
      </w:r>
      <m:oMath>
        <m:r>
          <m:rPr>
            <m:sty m:val="p"/>
          </m:rPr>
          <m:t>14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−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problèmes indépendants : un d'algèbre et un d'analyse.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ici d'étudier certaines propriétés des matrices antisymétriques réelles. Après avoir étudié un exemple en dimension 2 , on utilise les matrices antisymétriques pour paramétrer un sousensemble des matrices orthogonales.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désigne l'ensemble des réels et,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antisymétriques à coefficients réels et par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celui des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orthogonales à coefficients réels. Le groupe spécial orthogonal est constitué des matrices orthogonales de déterminant 1 .</w:t>
      </w:r>
    </w:p>
    <w:p>
      <w:pPr>
        <w:spacing w:line="271" w:before="330" w:lineRule="auto"/>
      </w:pPr>
      <w:r>
        <w:rPr>
          <w:b/>
          <w:sz w:val="42"/>
        </w:rPr>
        <w:t xml:space="preserve">Partie I - Un exemple en dimension 2</w:t>
      </w:r>
    </w:p>
    <w:p>
      <w:pPr>
        <w:spacing w:after="220" w:lineRule="auto"/>
      </w:pPr>
      <w:r>
        <w:rPr/>
        <w:t xml:space="preserve">Q1.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et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t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Déterminer les valeurs propres complexes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Q2. Calculer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e>
        </m: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montrer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une matrice du groupe spécial orthogonal.</w:t>
      </w:r>
      <w:r>
        <w:rPr/>
        <w:br w:type="textWrapping"/>
      </w:r>
      <w:r>
        <w:rPr>
          <w:rFonts w:eastAsia="Georgia" w:cs="Georgia" w:ascii="Georgia" w:hAnsi="Georgia"/>
        </w:rPr>
        <w:t xml:space="preserve">Q3. Pour tout réel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∖</m:t>
        </m:r>
        <m:r>
          <m:rPr>
            <m:sty m:val="i"/>
          </m:rPr>
          <m:t>π</m:t>
        </m:r>
        <m:r>
          <m:rPr>
            <m:sty m:val="b"/>
          </m:rPr>
          <m:t>Z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  <m:mr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</m:m>
          </m:e>
        </m:d>
      </m:oMath>
      <w:r>
        <w:rPr/>
        <w:t xml:space="preserve">. Calculer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Matrices antisymétriques et matrices orthogonales</w:t>
      </w:r>
    </w:p>
    <w:p>
      <w:pPr>
        <w:spacing w:after="220" w:lineRule="auto"/>
      </w:pPr>
      <w:r>
        <w:rPr/>
        <w:t xml:space="preserve">Dans ce qui suit,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strictement positif.</w:t>
      </w:r>
      <w:r>
        <w:rPr/>
        <w:br w:type="textWrapping"/>
      </w:r>
      <w:r>
        <w:rPr/>
        <w:t xml:space="preserve">Q4. Soient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r>
          <m:rPr>
            <m:sty m:val="i"/>
          </m:rPr>
          <m:t>C</m:t>
        </m:r>
      </m:oMath>
      <w:r>
        <w:rPr/>
        <w:t xml:space="preserve"> est inversible et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i"/>
          </m:rPr>
          <m:t>B</m:t>
        </m:r>
      </m:oMath>
      <w:r>
        <w:rPr/>
        <w:t xml:space="preserve">, alors </w:t>
      </w:r>
      <m:oMath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Q5.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antisymétrique. Soit </w:t>
      </w:r>
      <m:oMath>
        <m:r>
          <m:rPr>
            <m:sty m:val="i"/>
          </m:rPr>
          <m:t>λ</m:t>
        </m:r>
      </m:oMath>
      <w:r>
        <w:rPr/>
        <w:t xml:space="preserve"> une valeur propre complexe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un vecteur propre associé. En calculant de deux façons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complexe imaginaire pur (éventuellement nul).</w:t>
      </w:r>
      <w:r>
        <w:rPr/>
        <w:br w:type="textWrapping"/>
      </w:r>
      <w:r>
        <w:rPr>
          <w:rFonts w:eastAsia="Georgia" w:cs="Georgia" w:ascii="Georgia" w:hAnsi="Georgia"/>
        </w:rPr>
        <w:t xml:space="preserve">Q6. Déduire de la question précédente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antisymétrique réelle, alors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/>
        <w:t xml:space="preserve"> est inversible et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 est une matrice orthogonale.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Q7. Calculer le déterminant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Q8. Soit </w:t>
      </w:r>
      <m:oMath>
        <m:r>
          <m:rPr>
            <m:sty m:val="i"/>
          </m:rPr>
          <m:t>R</m:t>
        </m:r>
      </m:oMath>
      <w:r>
        <w:rPr/>
        <w:t xml:space="preserve"> une matrice orthogonale telle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soit inversible. Démontrer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R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est antisymétrique.</w:t>
      </w:r>
    </w:p>
    <w:p>
      <w:pPr>
        <w:spacing w:after="220" w:lineRule="auto"/>
      </w:pPr>
      <w:r>
        <w:rPr/>
        <w:t xml:space="preserve">Q9. On suppose ici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que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muni de sa structure usuelle d'espace euclidien orienté par la base canonique. Soit </w:t>
      </w:r>
      <m:oMath>
        <m:r>
          <m:rPr>
            <m:sty m:val="i"/>
          </m:rPr>
          <m:t>r</m:t>
        </m:r>
      </m:oMath>
      <w:r>
        <w:rPr/>
        <w:t xml:space="preserve"> une rotation d'angle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autour d'un axe orienté par un vecteur </w:t>
      </w:r>
      <m:oMath>
        <m:r>
          <m:rPr>
            <m:sty m:val="i"/>
          </m:rPr>
          <m:t>u</m:t>
        </m:r>
      </m:oMath>
      <w:r>
        <w:rPr/>
        <w:t xml:space="preserve"> de norme 1 et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sa matrice dans la base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qu'il existe une matrice antisymétrique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l'étude du phénomène de Gibbs. Dans la première partie, on démontre des lemmes de Riemann-Lebesgue. Dans la deuxième, on calcule l'intégrale de Dirichlet. Enfin, dans la troisième partie, on met en évidence le phénomène de Gibbs.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désigne l'ensemble des réels,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désigne l'intervalle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 et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désigne l'ensemble des nombres complexes.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Résultats préliminaires</w:t>
      </w:r>
    </w:p>
    <w:p>
      <w:pPr>
        <w:spacing w:after="220" w:lineRule="auto"/>
      </w:pPr>
      <w:r>
        <w:rPr/>
        <w:t xml:space="preserve">Dans ce qui suit,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désigne une fonction continue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telle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Q10.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Q11. Montrer que la primitive de </w:t>
      </w:r>
      <m:oMath>
        <m:r>
          <m:rPr>
            <m:sty m:val="i"/>
          </m:rPr>
          <m:t>φ</m:t>
        </m:r>
      </m:oMath>
      <w:r>
        <w:rPr/>
        <w:t xml:space="preserve"> s' annulant en 0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bornée sur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déduire de ce qui précède que pour toute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ty m:val="b"/>
          </m:rPr>
          <m:t>C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Q12. Soient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une fonction continue. Soient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 et </w:t>
      </w:r>
      <m:oMath>
        <m:r>
          <m:rPr>
            <m:sty m:val="i"/>
          </m:rPr>
          <m:t>g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[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ε</m:t>
        </m:r>
      </m:oMath>
      <w:r>
        <w:rPr/>
        <w:t xml:space="preserve">, montrer qu'il existe une constante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ne dépendant que de </w:t>
      </w:r>
      <m:oMath>
        <m:r>
          <m:rPr>
            <m:sty m:val="i"/>
          </m:rPr>
          <m:t>φ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α</m:t>
                  </m:r>
                </m:sub>
                <m:sup>
                  <m:r>
                    <m:rPr>
                      <m:sty m:val="i"/>
                    </m:rPr>
                    <m:t>β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i"/>
            </m:rPr>
            <m:t>β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|</m:t>
          </m:r>
          <m:r>
            <m:rPr>
              <m:sty m:val="i"/>
            </m:rPr>
            <m:t>ε</m:t>
          </m:r>
          <m:r>
            <m:rPr>
              <m:sty m:val="p"/>
            </m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α</m:t>
                  </m:r>
                </m:sub>
                <m:sup>
                  <m:r>
                    <m:rPr>
                      <m:sty m:val="i"/>
                    </m:rPr>
                    <m:t>β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 et toute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continue par morceaux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admettre et utiliser le théorème de Weierstrass qui affirme que pour tout segment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 et toute fonction continue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, 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fonctions polynomiales qui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Q13.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une fonction continue par morceaux. Déduire de ce qui précède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L'intégrale de Dirichlet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une fonction continue telle que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soit bornée.</w:t>
      </w:r>
      <w:r>
        <w:rPr/>
        <w:br w:type="textWrapping"/>
      </w:r>
      <w:r>
        <w:rPr>
          <w:rFonts w:eastAsia="Georgia" w:cs="Georgia" w:ascii="Georgia" w:hAnsi="Georgia"/>
        </w:rPr>
        <w:t xml:space="preserve">Q14. Montrer que, pour tout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les intégrales généralisées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puis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sont convergentes et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a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Montrer que les intégrales généralisées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sont convergentes et que: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qui suit, on considère une fonction continue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telle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soit absolument convergente.</w:t>
      </w:r>
      <w:r>
        <w:rPr/>
        <w:br w:type="textWrapping"/>
      </w:r>
      <w:r>
        <w:rPr/>
        <w:t xml:space="preserve">Q16. Montrer que la fonction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b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↦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bien définie et continue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Q17. On suppose de plus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bornée. Montrer que la fonction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0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Q18.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la fonction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solution de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/>
        <w:t xml:space="preserve">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cherche une solution particulière de (E) de la forme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les fonctions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sont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vérifient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β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Montrer que l'on peut prendre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des fonctions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3. 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solution de l'équation (E)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4. Montrer qu'il existe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r>
                <m:rPr>
                  <m:scr m:val="script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Q19.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tend vers 0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a: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Q20.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tend vers 0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0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Déduire des questions précédentes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Phénomène de Gibbs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impaire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ou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π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fonctions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b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En calculant la dérivée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b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Q23.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Q24. En déduire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tend vers 1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Q25. Calculer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utilisant le résultat de la question Q12,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Q26. Déduire de ce qui précède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converge simplement vers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(E.1) sur R.</w:t>
      </w:r>
    </w:p>
    <w:p>
      <w:pPr>
        <w:spacing w:after="220" w:lineRule="auto"/>
      </w:pPr>
      <w:r>
        <w:rPr/>
        <w:t xml:space="preserve">Q27.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</m:oMath>
      <w:r>
        <w:rPr/>
        <w:t xml:space="preserve"> ]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den>
                            </m:f>
                          </m:e>
                        </m:d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converge simplement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vers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Q28. Montrer que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π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Q29.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Q30. Comparer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3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0.17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ne converge pas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2025-08-29T16:04:45.966Z</dcterms:created>
  <dcterms:modified xsi:type="dcterms:W3CDTF">2025-08-29T16:04:45.966Z</dcterms:modified>
</cp:coreProperties>
</file>