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PSI</w:t>
      </w:r>
    </w:p>
    <w:p>
      <w:pPr>
        <w:spacing w:line="271" w:before="330" w:lineRule="auto"/>
      </w:pPr>
      <w:r>
        <w:rPr>
          <w:b/>
          <w:sz w:val="42"/>
        </w:rPr>
        <w:t xml:space="preserve">MATHEMATIQUES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sont autorisées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désigne l'ensemble des réels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désigne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un intervalle réel non réduit à un point, on note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l'espace vectoriel des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cr m:val="double-struck"/>
          </m:rPr>
          <m:t>K</m:t>
        </m:r>
      </m:oMath>
      <w:r>
        <w:rPr/>
        <w:t xml:space="preserve"> l'ensemble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. Pour tout entier naturel non nul,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-espace vectoriel des matrices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 et à coefficients dans </w:t>
      </w:r>
      <m:oMath>
        <m:r>
          <m:rPr>
            <m:scr m:val="double-struck"/>
          </m:rPr>
          <m:t>K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Un vecteur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noté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e>
                  </m:d>
                </m:e>
              </m:d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est le coefficient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situé en ligne </w:t>
      </w:r>
      <m:oMath>
        <m:r>
          <m:rPr>
            <m:sty m:val="i"/>
          </m:rPr>
          <m:t>j</m:t>
        </m:r>
      </m:oMath>
      <w:r>
        <w:rPr/>
        <w:t xml:space="preserve"> et colonne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dit qu'une application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sty m:val="i"/>
                  </m:rPr>
                  <m:t>I</m:t>
                </m:r>
              </m:e>
              <m:e>
                <m:r>
                  <m:rPr>
                    <m:sty m:val="p"/>
                  </m:rPr>
                  <m:t>→</m:t>
                </m:r>
              </m:e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K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>t</m:t>
                </m:r>
              </m:e>
              <m:e>
                <m:r>
                  <m:rPr>
                    <m:sty m:val="p"/>
                  </m:rPr>
                  <m:t>↦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j</m:t>
                                </m:r>
                                <m:r>
                                  <m:rPr>
                                    <m:sty m:val="p"/>
                                  </m:rPr>
                                  <m:t>,</m:t>
                                </m:r>
                                <m:r>
                                  <m:rPr>
                                    <m:sty m:val="i"/>
                                  </m:rPr>
                                  <m:t>k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t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</m:d>
                      </m:e>
                    </m:d>
                  </m:e>
                  <m:sub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mr>
          </m:m>
        </m:oMath>
      </m:oMathPara>
    </w:p>
    <w:p>
      <w:pPr>
        <w:spacing w:after="220" w:lineRule="auto"/>
      </w:pPr>
      <w:r>
        <w:rPr/>
        <w:t xml:space="preserve">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, si pour tout couple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 et dans ce cas, on note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la matrice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Soient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un intervalle réel non réduit à un point et </w:t>
      </w:r>
      <m:oMath>
        <m:r>
          <m:rPr>
            <m:sty m:val="i"/>
          </m:rPr>
          <m:t>A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une fonction continue.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ce problème, on s'intéresse au système différentiel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une application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 l'exception de la question I. 2 utilisée tout au long du sujet, les trois parties sont indépendantes.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Quelques exemples d'étude d'un système différentiel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 1 Qu'affirme le théorème de Cauchy-Lipschitz linéaire quant à la structure de l'ensemble des solutions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I. 2 Vecteurs propres communs</w:t>
      </w:r>
    </w:p>
    <w:p>
      <w:pPr>
        <w:spacing w:after="220" w:lineRule="auto"/>
      </w:pPr>
      <w:r>
        <w:rPr/>
        <w:t xml:space="preserve">On suppose qu'il existe un vecteur non nul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une fonction continue </w:t>
      </w:r>
      <m:oMath>
        <m:r>
          <m:rPr>
            <m:sty m:val="i"/>
          </m:rPr>
          <m:t>λ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/>
        <w:t xml:space="preserve"> tels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on ait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V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V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la fonction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sSup>
                  <m:sSupPr/>
                  <m:e>
                    <m:r>
                      <m:rPr>
                        <m:scr m:val="double-struck"/>
                      </m:rPr>
                      <m:t>C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mr>
            <m:mr>
              <m:e/>
              <m:e>
                <m:r>
                  <m:rPr>
                    <m:sty m:val="i"/>
                  </m:rPr>
                  <m:t>t</m:t>
                </m:r>
              </m:e>
            </m:mr>
          </m:m>
          <m:r>
            <m:rPr>
              <m:sty m:val="p"/>
            </m:rPr>
            <m:t>↦</m:t>
          </m:r>
          <m:r>
            <m:rPr>
              <m:sty m:val="i"/>
            </m:rPr>
            <m:t>α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V</m:t>
          </m:r>
        </m:oMath>
      </m:oMathPara>
    </w:p>
    <w:p>
      <w:pPr>
        <w:spacing w:after="220" w:lineRule="auto"/>
      </w:pPr>
      <w:r>
        <w:rPr/>
        <w:t xml:space="preserve">est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si, et seulement si, la fonction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solution d'une équation différentielle linéaire du premier ordre que l'on précisera et pour laquelle on donnera une expression des solutions.</w:t>
      </w:r>
    </w:p>
    <w:p>
      <w:pPr>
        <w:spacing w:line="271" w:before="330" w:lineRule="auto"/>
      </w:pPr>
      <w:r>
        <w:rPr>
          <w:b/>
          <w:sz w:val="42"/>
        </w:rPr>
        <w:t xml:space="preserve">I. 3 Un premier exemple</w:t>
      </w:r>
    </w:p>
    <w:p>
      <w:pPr>
        <w:spacing w:after="220" w:lineRule="auto"/>
      </w:pPr>
      <w:r>
        <w:rPr/>
        <w:t xml:space="preserve">On suppose pour cette question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complexes tels que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On suppose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b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une base de l'espace vectoriel des solutions de ( </w:t>
      </w:r>
      <m:oMath>
        <m:r>
          <m:rPr>
            <m:sty m:val="i"/>
          </m:rPr>
          <m:t>E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4 Un deuxième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également pour cette question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 Soient </w:t>
      </w:r>
      <m:oMath>
        <m:r>
          <m:rPr>
            <m:sty m:val="i"/>
          </m:rPr>
          <m:t>μ</m:t>
        </m:r>
      </m:oMath>
      <w:r>
        <w:rPr/>
        <w:t xml:space="preserve"> une constante complexe et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des fonctions continues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, la fonction </w:t>
      </w:r>
      <m:oMath>
        <m:r>
          <m:rPr>
            <m:sty m:val="i"/>
          </m:rPr>
          <m:t>b</m:t>
        </m:r>
      </m:oMath>
      <w:r>
        <w:rPr/>
        <w:t xml:space="preserve"> ne s'annulant jamais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On suppose que pour tout réel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i"/>
                      </m:rPr>
                      <m:t>μ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μ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I.4.1 Traiter le cas particulier où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I.4.2 Montrer qu'il existe deux vecteurs non nuls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deux fonctions continues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tels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on ait: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nor/>
            </m:rPr>
            <m:t> et 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I.4.3 Donner une condition nécessaire et suffisante portant sur </w:t>
      </w:r>
      <m:oMath>
        <m:r>
          <m:rPr>
            <m:sty m:val="i"/>
          </m:rPr>
          <m:t>μ</m:t>
        </m:r>
      </m:oMath>
      <w:r>
        <w:rPr/>
        <w:t xml:space="preserve"> pour que l'on ait: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≠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supposera cette condition vérifiée pour la question suivante.</w:t>
      </w:r>
      <w:r>
        <w:rPr/>
        <w:br w:type="textWrapping"/>
      </w:r>
      <w:r>
        <w:rPr>
          <w:rFonts w:eastAsia="Georgia" w:cs="Georgia" w:ascii="Georgia" w:hAnsi="Georgia"/>
        </w:rPr>
        <w:t xml:space="preserve">I.4.4 Déterminer une base de l'espace vectoriel des solutions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Développement en série entière des solutions pour </w:t>
      </w:r>
      <m:oMath>
        <m:r>
          <m:rPr>
            <m:sty m:val="i"/>
          </m:rPr>
          <w:rPr>
            <w:sz w:val="42"/>
          </w:rPr>
          <m:t>A</m:t>
        </m:r>
      </m:oMath>
      <w:r>
        <w:rPr>
          <w:b/>
          <w:sz w:val="42"/>
        </w:rPr>
        <w:t xml:space="preserve"> constante</w:t>
      </w:r>
    </w:p>
    <w:p>
      <w:pPr>
        <w:spacing w:line="271" w:before="330" w:lineRule="auto"/>
      </w:pPr>
      <w:r>
        <w:rPr>
          <w:b/>
          <w:sz w:val="42"/>
        </w:rPr>
        <w:t xml:space="preserve">II. 1 Norme matricielle induite</w:t>
      </w:r>
    </w:p>
    <w:p>
      <w:pPr>
        <w:spacing w:after="220" w:lineRule="auto"/>
      </w:pPr>
      <w:r>
        <w:rPr/>
        <w:t xml:space="preserve">On se donne une norme vectorielle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on lui associe la fonction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définie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∖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}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</m:num>
            <m:den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</m:den>
          </m:f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II.1.1 Montrer que l'application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définit une norme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II.1.2 Montrer que, pour toutes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2 Développement en série entière des solutions</w:t>
      </w:r>
    </w:p>
    <w:p>
      <w:pPr>
        <w:spacing w:after="220" w:lineRule="auto"/>
      </w:pPr>
      <w:r>
        <w:rPr/>
        <w:t xml:space="preserve">II.2.1 On suppose pour cette question, que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et que la fonction </w:t>
      </w:r>
      <m:oMath>
        <m:r>
          <m:rPr>
            <m:sty m:val="i"/>
          </m:rPr>
          <m:t>A</m:t>
        </m:r>
      </m:oMath>
      <w:r>
        <w:rPr/>
        <w:t xml:space="preserve"> est constante.</w:t>
      </w:r>
    </w:p>
    <w:p>
      <w:pPr>
        <w:spacing w:after="220" w:lineRule="auto"/>
      </w:pPr>
      <w:r>
        <w:rPr/>
        <w:t xml:space="preserve">Montrer que si </w:t>
      </w:r>
      <m:oMath>
        <m:r>
          <m:rPr>
            <m:sty m:val="i"/>
          </m:rPr>
          <m:t>X</m:t>
        </m:r>
      </m:oMath>
      <w:r>
        <w:rPr/>
        <w:t xml:space="preserve"> est solution de ( </w:t>
      </w:r>
      <m:oMath>
        <m:r>
          <m:rPr>
            <m:sty m:val="i"/>
          </m:rPr>
          <m:t>E</m:t>
        </m:r>
      </m:oMath>
      <w:r>
        <w:rPr/>
        <w:t xml:space="preserve"> ), elle est alors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 et que pour tout entier naturel </w:t>
      </w:r>
      <m:oMath>
        <m:r>
          <m:rPr>
            <m:sty m:val="i"/>
          </m:rPr>
          <m:t>k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(avec la convention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II.2.2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 Montrer que pour tout entier naturel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p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!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II.2.3 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p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!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 les coordonnées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sont développables en série entière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 3 Un exemple</w:t>
      </w:r>
    </w:p>
    <w:p>
      <w:pPr>
        <w:spacing w:after="220" w:lineRule="auto"/>
      </w:pPr>
      <w:r>
        <w:rPr/>
        <w:t xml:space="preserve">On suppose pour cette question,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, que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et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constante et égale à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II.3.1 Calculer le polynôme caractéristique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II.3.2 Soit </w:t>
      </w:r>
      <m:oMath>
        <m:r>
          <m:rPr>
            <m:sty m:val="i"/>
          </m:rPr>
          <m:t>k</m:t>
        </m:r>
      </m:oMath>
      <w:r>
        <w:rPr/>
        <w:t xml:space="preserve"> un entier naturel non nul.</w:t>
      </w:r>
    </w:p>
    <w:p>
      <w:pPr>
        <w:spacing w:after="220" w:lineRule="auto"/>
      </w:pPr>
      <w:r>
        <w:rPr/>
        <w:t xml:space="preserve">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puis exprimer le reste de la division euclidienne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dans cette base.</w:t>
      </w:r>
      <w:r>
        <w:rPr/>
        <w:br w:type="textWrapping"/>
      </w:r>
      <w:r>
        <w:rPr>
          <w:rFonts w:eastAsia="Georgia" w:cs="Georgia" w:ascii="Georgia" w:hAnsi="Georgia"/>
        </w:rPr>
        <w:t xml:space="preserve">II.3.3 En déduire, pour tout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une expression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A</m:t>
        </m:r>
      </m:oMath>
      <w:r>
        <w:rPr/>
        <w:t xml:space="preserve">, </w:t>
      </w:r>
      <m:oMath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A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II.3.4 Calculer </w:t>
      </w:r>
      <m:oMath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A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II.3.5 Préciser le rayon de convergence de la série entière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ainsi que sa somme.</w:t>
      </w:r>
      <w:r>
        <w:rPr/>
        <w:br w:type="textWrapping"/>
      </w:r>
      <w:r>
        <w:rPr/>
        <w:t xml:space="preserve">II.3.6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. Déterminer la solution du problème de Cauchy linéaire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=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=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line="271" w:before="330" w:lineRule="auto"/>
      </w:pPr>
      <w:r>
        <w:rPr>
          <w:b/>
          <w:sz w:val="42"/>
        </w:rPr>
        <w:t xml:space="preserve">Etude de deux fonctions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1 L'intégrale de Gauss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III.1.1 Montrer que l'intégrale de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/>
        <w:t xml:space="preserve"> est convergente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III.1.2 Montrer que les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i"/>
                        </m:rPr>
                        <m:t>x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sup>
                  </m:sSup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sont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puis préciser les dérivées d'ordre 1 de </w:t>
      </w:r>
      <m:oMath>
        <m:r>
          <m:rPr>
            <m:sty m:val="i"/>
          </m:rPr>
          <m:t>F</m:t>
        </m:r>
      </m:oMath>
      <w:r>
        <w:rPr/>
        <w:t xml:space="preserve"> et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III.1.3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la valeur de </w:t>
      </w:r>
      <m:oMath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III.1.4 Montrer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III.1.5 En déduire que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π</m:t>
                  </m:r>
                </m:e>
              </m:rad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 2 Les fonctions </w:t>
      </w:r>
      <m:oMath>
        <m:r>
          <m:rPr>
            <m:sty m:val="i"/>
          </m:rPr>
          <w:rPr>
            <w:sz w:val="42"/>
          </w:rPr>
          <m:t>u</m:t>
        </m:r>
      </m:oMath>
      <w:r>
        <w:rPr>
          <w:b/>
          <w:sz w:val="42"/>
        </w:rPr>
        <w:t xml:space="preserve"> et </w:t>
      </w:r>
      <m:oMath>
        <m:r>
          <m:rPr>
            <m:sty m:val="i"/>
          </m:rPr>
          <w:rPr>
            <w:sz w:val="42"/>
          </w:rPr>
          <m:t>v</m:t>
        </m:r>
      </m:oMath>
    </w:p>
    <w:p>
      <w:pPr>
        <w:spacing w:after="220" w:lineRule="auto"/>
      </w:pPr>
      <w:r>
        <w:rPr/>
        <w:t xml:space="preserve">III.2.1 Montrer que les fonctions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nor/>
            </m:rPr>
            <m:t> et 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sont bien définies et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III.2.2 Montrer que la fonction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solution d'une équation différentielle, puis en déduire que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solution d'un système différentiel du premier ordre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la fonction matricielle </w:t>
      </w:r>
      <m:oMath>
        <m:r>
          <m:rPr>
            <m:sty m:val="i"/>
          </m:rPr>
          <m:t>A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à déterminer.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III.2.3 Déterminer, pour tout réel </w:t>
      </w:r>
      <m:oMath>
        <m:r>
          <m:rPr>
            <m:sty m:val="i"/>
          </m:rPr>
          <m:t>t</m:t>
        </m:r>
      </m:oMath>
      <w:r>
        <w:rPr/>
        <w:t xml:space="preserve">, les valeurs propres complexes et les sous-espaces propres de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III.2.4 Déterminer une base de l'espace vectoriel des solutions sur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du système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et en déduire la solution générale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III.2.5 Calculer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l'expression réelle de </w:t>
      </w:r>
      <m:oMath>
        <m:r>
          <m:rPr>
            <m:sty m:val="i"/>
          </m:rPr>
          <m:t>u</m:t>
        </m:r>
      </m:oMath>
      <w:r>
        <w:rPr/>
        <w:t xml:space="preserve"> et de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