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N.B.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porte sur l'étude d'une suite double et de différents contextes dans lesquels on retrouve cette suite.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b"/>
          </m:rPr>
          <m:t>N</m:t>
        </m:r>
      </m:oMath>
      <w:r>
        <w:rPr/>
        <w:t xml:space="preserve"> l'ensemble des entiers naturels, par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</w:t>
      </w:r>
      <m:oMath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privé de 0 , par </w:t>
      </w:r>
      <m:oMath>
        <m:r>
          <m:rPr>
            <m:sty m:val="b"/>
          </m:rPr>
          <m:t>Z</m:t>
        </m:r>
      </m:oMath>
      <w:r>
        <w:rPr/>
        <w:t xml:space="preserve"> l'ensemble des entiers relatifs et par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note </w:t>
      </w:r>
      <m:oMath>
        <m:r>
          <m:rPr>
            <m:sty m:val="i"/>
          </m:rPr>
          <m:t>◻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i"/>
          </m:rPr>
          <m:t>◻</m:t>
        </m:r>
      </m:oMath>
      <w:r>
        <w:rPr/>
        <w:t xml:space="preserve"> l'ensemble des entiers naturels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l'anneau des matrices carrées d'ordre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b"/>
          </m:rPr>
          <m:t>Z</m:t>
        </m:r>
      </m:oMath>
      <w:r>
        <w:rPr/>
        <w:t xml:space="preserve">. 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est l'élément de la ligne </w:t>
      </w:r>
      <m:oMath>
        <m:r>
          <m:rPr>
            <m:sty m:val="i"/>
          </m:rPr>
          <m:t>p</m:t>
        </m:r>
      </m:oMath>
      <w:r>
        <w:rPr/>
        <w:t xml:space="preserve"> et de la colonne </w:t>
      </w:r>
      <m:oMath>
        <m:r>
          <m:rPr>
            <m:sty m:val="i"/>
          </m:rPr>
          <m:t>q</m:t>
        </m:r>
      </m:oMath>
      <w:r>
        <w:rPr/>
        <w:t xml:space="preserve">. Par exemple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noté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p"/>
          </m:rPr>
          <m:t>com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la comatrice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l'espace des polynômes à coefficients réels et,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le sous-espace de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II, III et IV de ce problème sont indépendantes entre elles; seule la suite étudiée dans la partie I apparaît dans une question de chacune de ces parties.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suite double de nombres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 par :</w:t>
      </w:r>
      <w:r>
        <w:rPr/>
        <w:br w:type="textWrapping"/>
      </w:r>
      <w:r>
        <w:rPr/>
        <w:t xml:space="preserve">(i)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(ii)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(iii)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(iv) pour tout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considération d'un tableau, dans lequel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sont disposés avec </w:t>
      </w:r>
      <m:oMath>
        <m:r>
          <m:rPr>
            <m:sty m:val="i"/>
          </m:rPr>
          <m:t>p</m:t>
        </m:r>
      </m:oMath>
      <w:r>
        <w:rPr/>
        <w:t xml:space="preserve"> indice de ligne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indice de colonne, pourra se révéler d'une utilité certaine.</w:t>
      </w:r>
      <w:r>
        <w:rPr/>
        <w:br w:type="textWrapping"/>
      </w:r>
      <w:r>
        <w:rPr/>
        <w:t xml:space="preserve">I.1. Pour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I.2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I.3. Pour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En déduire la valeur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I.4.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on considère la propriété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: "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".</w:t>
      </w:r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la propriété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est vraie.</w:t>
      </w:r>
      <w:r>
        <w:rPr/>
        <w:br w:type="textWrapping"/>
      </w:r>
      <w:r>
        <w:rPr/>
        <w:t xml:space="preserve">I.5. Pour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i"/>
          </m:rPr>
          <m:t>q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I.6.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I.7.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carrée d'ordre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(c'est-à-dire à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lignes et à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colonnes), dont le terme de la ligne </w:t>
      </w:r>
      <m:oMath>
        <m:r>
          <m:rPr>
            <m:sty m:val="i"/>
          </m:rPr>
          <m:t>p</m:t>
        </m:r>
      </m:oMath>
      <w:r>
        <w:rPr/>
        <w:t xml:space="preserve"> et de la colonne </w:t>
      </w:r>
      <m:oMath>
        <m:r>
          <m:rPr>
            <m:sty m:val="i"/>
          </m:rPr>
          <m:t>q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, pour tout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◻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◻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Expliciter les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.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PARTIE II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Dans cette partie, </w:t>
      </w:r>
      <m:oMath>
        <m:r>
          <m:rPr>
            <m:sty m:val="i"/>
          </m:rPr>
          <w:rPr>
            <w:sz w:val="56"/>
          </w:rPr>
          <m:t>n</m:t>
        </m:r>
      </m:oMath>
      <w:r>
        <w:rPr>
          <w:rFonts w:eastAsia="Georgia" w:cs="Georgia" w:ascii="Georgia" w:hAnsi="Georgia"/>
          <w:b/>
          <w:sz w:val="56"/>
        </w:rPr>
        <w:t xml:space="preserve"> désigne un entier naturel.</w:t>
      </w:r>
    </w:p>
    <w:p>
      <w:pPr>
        <w:spacing w:after="220" w:lineRule="auto"/>
      </w:pPr>
      <w:r>
        <w:rPr/>
        <w:t xml:space="preserve">II.1.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II.1.1. 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II.1.2. Montrer que </w:t>
      </w:r>
      <m:oMath>
        <m:r>
          <m:rPr>
            <m:sty m:val="p"/>
          </m:rPr>
          <m:t>com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II.1.3. On rappelle qu'une matrice </w:t>
      </w:r>
      <m:oMath>
        <m:r>
          <m:rPr>
            <m:sty m:val="i"/>
          </m:rPr>
          <m:t>M</m:t>
        </m:r>
      </m:oMath>
      <w:r>
        <w:rPr/>
        <w:t xml:space="preserve"> est inversible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existe et appartient à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M</m:t>
        </m:r>
      </m:oMath>
      <w:r>
        <w:rPr/>
        <w:t xml:space="preserve"> est inversible dans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 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polynômes de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II.2.1. Montrer que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est une base de l'espace vectoriel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; on notera (B) cette base.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base canonique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de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de passage de la base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de passage de la base </w:t>
      </w:r>
      <m:oMath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II.2.2. On prend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, expliciter les matrices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II.2.3.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matrice triangulaire supérieure à coefficients dans </w:t>
      </w:r>
      <m:oMath>
        <m:r>
          <m:rPr>
            <m:sty m:val="b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II.2.4. Calculer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II.2.5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matrice triangulaire supérieure à coefficients dans </w:t>
      </w:r>
      <m:oMath>
        <m:r>
          <m:rPr>
            <m:sty m:val="b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q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.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◻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i"/>
          </m:rPr>
          <m:t>◻</m:t>
        </m:r>
      </m:oMath>
      <w:r>
        <w:rPr/>
        <w:t xml:space="preserve">, on a donc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q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II.2.6. En donnant à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des valeurs particulières, déterminer les coefficients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pour </w:t>
      </w:r>
      <m:oMath>
        <m:r>
          <m:rPr>
            <m:sty m:val="p"/>
          </m:rPr>
          <m:t xml:space="preserve"> 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◻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i"/>
          </m:rPr>
          <m:t>◻</m:t>
        </m:r>
      </m:oMath>
      <w:r>
        <w:rPr/>
        <w:t xml:space="preserve">.</w:t>
      </w:r>
      <w:r>
        <w:rPr/>
        <w:br w:type="textWrapping"/>
      </w:r>
      <w:r>
        <w:rPr/>
        <w:t xml:space="preserve">II.2.7.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matrice définie au I.7.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l'espace vectoriel réel des applications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. On définit l'application </w:t>
      </w:r>
      <m:oMath>
        <m:r>
          <m:rPr>
            <m:sty m:val="i"/>
          </m:rPr>
          <m:t>ϕ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nor/>
            </m:rPr>
            <m:t> où 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; ainsi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∘</m:t>
        </m:r>
        <m:r>
          <m:rPr>
            <m:sty m:val="i"/>
          </m:rPr>
          <m:t>ϕ</m:t>
        </m:r>
      </m:oMath>
      <w:r>
        <w:rPr/>
        <w:t xml:space="preserve"> (par convention :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 Vérifier que </w:t>
      </w:r>
      <m:oMath>
        <m:r>
          <m:rPr>
            <m:sty m:val="i"/>
          </m:rPr>
          <m:t>ϕ</m:t>
        </m:r>
      </m:oMath>
      <w:r>
        <w:rPr/>
        <w:t xml:space="preserve"> est un endomorphisme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Est-il surjectif ? Est-il injectif ? Préciser le noyau de </w:t>
      </w:r>
      <m:oMath>
        <m:r>
          <m:rPr>
            <m:sty m:val="i"/>
          </m:rPr>
          <m:t>ϕ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 Déterminer les vecteurs propres et les valeurs propres de </w:t>
      </w:r>
      <m:oMath>
        <m:r>
          <m:rPr>
            <m:sty m:val="i"/>
          </m:rPr>
          <m:t>ϕ</m:t>
        </m:r>
      </m:oMath>
      <w:r>
        <w:rPr/>
        <w:t xml:space="preserve">.</w:t>
      </w:r>
      <w:r>
        <w:rPr/>
        <w:br w:type="textWrapping"/>
      </w:r>
      <w:r>
        <w:rPr/>
        <w:t xml:space="preserve">III.3.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, expliciter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le noyau de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en donner une base.</w:t>
      </w:r>
      <w:r>
        <w:rPr/>
        <w:br w:type="textWrapping"/>
      </w:r>
      <w:r>
        <w:rPr/>
        <w:t xml:space="preserve">III.4.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qu'il existe des entiers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tels que,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◻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i"/>
          </m:rPr>
          <m:t>◻</m:t>
        </m:r>
      </m:oMath>
      <w:r>
        <w:rPr/>
        <w:t xml:space="preserve"> et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, on ait la relation :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sSup>
              <m:sSupPr/>
              <m:e>
                <m:r>
                  <m:rPr>
                    <m:sty m:val="i"/>
                  </m:rPr>
                  <m:t>ϕ</m:t>
                </m:r>
              </m:e>
              <m:sup>
                <m:r>
                  <m:rPr>
                    <m:sty m:val="i"/>
                  </m:rPr>
                  <m:t>q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q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</m:sub>
            </m:sSub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la dérivée p-ième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cette décomposition est unique.</w:t>
      </w:r>
      <w:r>
        <w:rPr/>
        <w:br w:type="textWrapping"/>
      </w:r>
      <w:r>
        <w:rPr/>
        <w:t xml:space="preserve">III.5. On convient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que,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p</m:t>
        </m:r>
        <m:r>
          <m:rPr>
            <m:sty m:val="p"/>
          </m:rPr>
          <m:t>&gt;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Montrer que pour tout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◻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◻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, où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sont les termes définis dans la partie I.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IV. 1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b"/>
          </m:rPr>
          <m:t>R</m:t>
        </m:r>
      </m:oMath>
      <w:r>
        <w:rPr/>
        <w:t xml:space="preserve"> 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exp est la fonction exponentielle.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IV1.1. Déterminer le développement limité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à l'ordre 4 en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IV1.2.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variant de 1 à 4 , en déduire la valeur de la dérivée n-ième de </w:t>
      </w:r>
      <m:oMath>
        <m:r>
          <m:rPr>
            <m:sty m:val="i"/>
          </m:rPr>
          <m:t>φ</m:t>
        </m:r>
      </m:oMath>
      <w:r>
        <w:rPr/>
        <w:t xml:space="preserve"> en 0 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ensemble de cardinal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 On appelle partition de </w:t>
      </w:r>
      <m:oMath>
        <m:r>
          <m:rPr>
            <m:sty m:val="i"/>
          </m:rPr>
          <m:t>E</m:t>
        </m:r>
      </m:oMath>
      <w:r>
        <w:rPr/>
        <w:t xml:space="preserve">, tout ensemble de parties non vides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deux à deux disjointes, dont la réunion est </w:t>
      </w:r>
      <m:oMath>
        <m:r>
          <m:rPr>
            <m:sty m:val="i"/>
          </m:rPr>
          <m:t>E</m:t>
        </m:r>
      </m:oMath>
      <w:r>
        <w:rPr/>
        <w:t xml:space="preserve">. Chaque partie de la partition s'appelle une classe.</w:t>
      </w:r>
      <w:r>
        <w:rPr/>
        <w:br w:type="textWrapping"/>
      </w:r>
      <w:r>
        <w:rPr/>
        <w:t xml:space="preserve">IV.2. Pour tout entier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j</m:t>
            </m:r>
          </m:sup>
        </m:sSubSup>
      </m:oMath>
      <w:r>
        <w:rPr/>
        <w:t xml:space="preserve"> le nombre de partitions de </w:t>
      </w:r>
      <m:oMath>
        <m:r>
          <m:rPr>
            <m:sty m:val="i"/>
          </m:rPr>
          <m:t>E</m:t>
        </m:r>
      </m:oMath>
      <w:r>
        <w:rPr/>
        <w:t xml:space="preserve"> en </w:t>
      </w:r>
      <m:oMath>
        <m:r>
          <m:rPr>
            <m:sty m:val="i"/>
          </m:rPr>
          <m:t>j</m:t>
        </m:r>
      </m:oMath>
      <w:r>
        <w:rPr/>
        <w:t xml:space="preserve"> classes. Par convention, on note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0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0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j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IV.2.1. Pour </w:t>
      </w:r>
      <m:oMath>
        <m:r>
          <m:rPr>
            <m:sty m:val="i"/>
          </m:rPr>
          <m:t>j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, calculer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j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IV.2.2. Calculer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IV.2.3. On suppose </w:t>
      </w:r>
      <m:oMath>
        <m:r>
          <m:rPr>
            <m:sty m:val="i"/>
          </m:rPr>
          <m:t>j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distinguant parmi les partitions de </w:t>
      </w:r>
      <m:oMath>
        <m:r>
          <m:rPr>
            <m:sty m:val="i"/>
          </m:rPr>
          <m:t>E</m:t>
        </m:r>
      </m:oMath>
      <w:r>
        <w:rPr/>
        <w:t xml:space="preserve"> en </w:t>
      </w:r>
      <m:oMath>
        <m:r>
          <m:rPr>
            <m:sty m:val="i"/>
          </m:rPr>
          <m:t>j</m:t>
        </m:r>
      </m:oMath>
      <w:r>
        <w:rPr/>
        <w:t xml:space="preserve"> classes, celles pour lesquelles le singleton </w:t>
      </w:r>
      <m:oMath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une classe de la partition, justifier l'égalité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j</m:t>
            </m:r>
          </m:sup>
        </m:sSub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+</m:t>
        </m:r>
        <m:r>
          <m:rPr>
            <m:sty m:val="i"/>
          </m:rPr>
          <m:t>j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j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IV.2.4. En déduire que pour tout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j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,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étant les termes définis dans la partie </w:t>
      </w:r>
      <m:oMath>
        <m:r>
          <m:rPr>
            <m:sty m:val="b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IV.3.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nombre de partitions de </w:t>
      </w:r>
      <m:oMath>
        <m:r>
          <m:rPr>
            <m:sty m:val="i"/>
          </m:rPr>
          <m:t>E</m:t>
        </m:r>
      </m:oMath>
      <w:r>
        <w:rPr/>
        <w:t xml:space="preserve">. Par convention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IV.3.1.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variant de 1 à 4, calculer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comparer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la fonction définie en IV.1.</w:t>
      </w:r>
      <w:r>
        <w:rPr/>
        <w:br w:type="textWrapping"/>
      </w:r>
      <w:r>
        <w:rPr/>
        <w:t xml:space="preserve">IV.3.2. Exprimer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l'aide des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j</m:t>
            </m:r>
          </m:sup>
        </m:sSubSup>
      </m:oMath>
      <w:r>
        <w:rPr/>
        <w:t xml:space="preserve">. Dans la suite, on admettra la formule</w:t>
      </w:r>
      <w:r>
        <w:rPr/>
        <w:br w:type="textWrapping"/>
      </w:r>
      <w:r>
        <w:rPr/>
        <w:t xml:space="preserve">(1)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où les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>
          <w:rFonts w:eastAsia="Georgia" w:cs="Georgia" w:ascii="Georgia" w:hAnsi="Georgia"/>
        </w:rPr>
        <w:t xml:space="preserve"> sont les coefficients du binôme.</w:t>
      </w:r>
      <w:r>
        <w:rPr/>
        <w:br w:type="textWrapping"/>
      </w:r>
      <w:r>
        <w:rPr/>
        <w:t xml:space="preserve">IV.3.3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br w:type="textWrapping"/>
      </w:r>
      <w:r>
        <w:rPr/>
        <w:t xml:space="preserve">IV. 4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lorsque la série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IV.4.1. Déduire de IV.3.3. que le rayon de convergence de la série est supérieur ou égal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IV.4.2. Montrer à l'aide de (1) que pour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(on pourra développer en série entière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utiliser le produit de Cauchy de deux séries entières).</w:t>
      </w:r>
      <w:r>
        <w:rPr/>
        <w:br w:type="textWrapping"/>
      </w:r>
      <w:r>
        <w:rPr>
          <w:rFonts w:eastAsia="Georgia" w:cs="Georgia" w:ascii="Georgia" w:hAnsi="Georgia"/>
        </w:rPr>
        <w:t xml:space="preserve">IV.4.3. En déduire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IV.4.4.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