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peuvent utiliser la calculatrice pour faire leurs calculs et donner directement la réponse sur la copie.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est composé d'un exercice et d'un probléme qui sont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Commutant d'une matrice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le commutant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 espace vectoriel.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Démontrer, en détaillant,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 Pour cela, on donnera une matrice de passage que l'on notera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commutant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Déterminer sa dimension.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 est un automorphisme d'espaces vectoriels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pour la dimension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(a) Existe-t-il un polynôme annulateur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degré inférieur ou égal à 2 ?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alors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polynômes en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résultat reste-t-il vrai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Inégalités sur les déterminants de matrices symétriques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note pour </w:t>
      </w:r>
      <m:oMath>
        <m:r>
          <m:rPr>
            <m:sty m:val="i"/>
          </m:rPr>
          <m:t>n</m:t>
        </m:r>
      </m:oMath>
      <w:r>
        <w:rPr/>
        <w:t xml:space="preserve"> entier naturel non nul 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l'ensemble des matrices symétriques définies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positifs,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Question préliminaire</w:t>
      </w:r>
    </w:p>
    <w:p>
      <w:pPr>
        <w:spacing w:after="220" w:lineRule="auto"/>
      </w:pPr>
      <w:r>
        <w:rPr/>
        <w:t xml:space="preserve">On rappelle qu'une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,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si, 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si et seulement si toutes les valeurs propres de </w:t>
      </w:r>
      <m:oMath>
        <m:r>
          <m:rPr>
            <m:sty m:val="i"/>
          </m:rPr>
          <m:t>S</m:t>
        </m:r>
      </m:oMath>
      <w:r>
        <w:rPr/>
        <w:t xml:space="preserve"> sont positives.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. Démontrer que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p"/>
              </m:rPr>
              <m:t>det</m:t>
            </m:r>
            <m:r>
              <m:rPr>
                <m:sty m:val="i"/>
              </m:rPr>
              <m:t>S</m:t>
            </m:r>
          </m:e>
        </m:ra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trace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Application :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en déduire l'inégalité </w:t>
      </w:r>
      <m:oMath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Théorème de réduction simultanée</w:t>
      </w:r>
    </w:p>
    <w:p>
      <w:pPr>
        <w:numPr>
          <w:ilvl w:val="0"/>
          <w:numId w:val="5"/>
        </w:numPr>
        <w:spacing w:lineRule="auto"/>
      </w:pPr>
      <w:r>
        <w:rPr/>
        <w:t xml:space="preserve">On se donne deux matrices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cr m:val="script"/>
          </m:rPr>
          <m:t>B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et, dans cette base, </w:t>
      </w:r>
      <m:oMath>
        <m:r>
          <m:rPr>
            <m:sty m:val="i"/>
          </m:rPr>
          <m:t>A</m:t>
        </m:r>
      </m:oMath>
      <w:r>
        <w:rPr/>
        <w:t xml:space="preserve"> est la matrice d'un produit scalaire </w:t>
      </w:r>
      <m:oMath>
        <m:r>
          <m:rPr>
            <m:sty m:val="i"/>
          </m:rPr>
          <m:t>φ</m:t>
        </m:r>
      </m:oMath>
      <w:r>
        <w:rPr/>
        <w:t xml:space="preserve">. On note l'espace euclidien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φ</m:t>
            </m:r>
          </m:e>
        </m:d>
      </m:oMath>
      <w:r>
        <w:rPr/>
        <w:t xml:space="preserve">. Soit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/>
        <w:t xml:space="preserve"> vers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A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B</m:t>
        </m:r>
        <m:r>
          <m:rPr>
            <m:sty m:val="i"/>
          </m:rPr>
          <m:t>R</m:t>
        </m:r>
      </m:oMath>
      <w:r>
        <w:rPr/>
        <w:t xml:space="preserve">, justifier qu'il existe une matrice orthogonale </w:t>
      </w:r>
      <m:oMath>
        <m:r>
          <m:rPr>
            <m:sty m:val="i"/>
          </m:rPr>
          <m:t>Q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/>
        <w:t xml:space="preserve">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  <m:r>
          <m:rPr>
            <m:sty m:val="i"/>
          </m:rPr>
          <m:t>C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Déterminer, en fonction des matrices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, une matrice inversible </w:t>
      </w:r>
      <m:oMath>
        <m:r>
          <m:rPr>
            <m:sty m:val="i"/>
          </m:rPr>
          <m:t>P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sty m:val="i"/>
            </m:rPr>
            <m:t>P</m:t>
          </m:r>
          <m:r>
            <m:rPr>
              <m:nor/>
            </m:rPr>
            <m:t> et 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sty m:val="i"/>
            </m:rPr>
            <m:t>D</m:t>
          </m:r>
          <m:r>
            <m:rPr>
              <m:sty m:val="i"/>
            </m:rPr>
            <m:t>P</m:t>
          </m:r>
          <m:r>
            <m:rPr>
              <m:sty m:val="p"/>
            </m:rPr>
            <m:t xml:space="preserve"> </m:t>
          </m:r>
          <m:r>
            <m:rPr>
              <m:nor/>
            </m:rPr>
            <m:t> (théorème de réduction simultanée) </m:t>
          </m:r>
        </m:oMath>
      </m:oMathPara>
    </w:p>
    <w:p>
      <w:pPr>
        <w:spacing w:after="220" w:lineRule="auto"/>
      </w:pPr>
      <w:r>
        <w:rPr/>
        <w:t xml:space="preserve">(d) Dans cette question, on prend l'exemple de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qu'une matrice inversible </w:t>
      </w:r>
      <m:oMath>
        <m:r>
          <m:rPr>
            <m:sty m:val="i"/>
          </m:rPr>
          <m:t>P</m:t>
        </m:r>
      </m:oMath>
      <w:r>
        <w:rPr/>
        <w:t xml:space="preserve"> telle 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diagonale n'est pas nécessairement une matrice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pourra, par exemple, utiliser la forme quadratique canoniquement associée à la matrice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Démontrer l'inégalité «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≫</m:t>
        </m:r>
      </m:oMath>
      <w:r>
        <w:rPr/>
        <w:t xml:space="preserve"> dans les deux cas suivants :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en utilisant le théorème de réduction simultanée. On pourra remarquer ici que, avec tous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≥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en démontrant d'abord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et en considérant les cas où les matrices sont dans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sans être dans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6.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note </w:t>
      </w:r>
      <m:oMath>
        <m:r>
          <m:rPr>
            <m:sty m:val="i"/>
          </m:rPr>
          <m:t>P</m:t>
        </m:r>
      </m:oMath>
      <w:r>
        <w:rPr/>
        <w:t xml:space="preserve"> une matrice inversible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matrice diagonale dans le théorème de réduction simultanée.</w:t>
      </w:r>
      <w:r>
        <w:rPr/>
        <w:br w:type="textWrapping"/>
      </w:r>
      <w:r>
        <w:rPr/>
        <w:t xml:space="preserve">(a) Exprimer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utilisant la fonction ln, démontrer que pour tout </w:t>
      </w:r>
      <m:oMath>
        <m:r>
          <m:rPr>
            <m:sty m:val="i"/>
          </m:rPr>
          <m:t>i</m:t>
        </m:r>
      </m:oMath>
      <w:r>
        <w:rPr/>
        <w:t xml:space="preserve"> entier compris entre 1 et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on démontre de même par le théorème de réduction simultanée (par la convexité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) le résultat suivant qui est admis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  <m:r>
            <m:rPr>
              <m:sty m:val="p"/>
            </m:rPr>
            <m:t>≥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est dense dans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l'inégalité ci-dessus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Théorème de Choleski</w:t>
      </w:r>
    </w:p>
    <w:p>
      <w:pPr>
        <w:numPr>
          <w:ilvl w:val="0"/>
          <w:numId w:val="6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il est possible, par le procédé d'orthonormalisation de Schmidt, de trouver une matrice triangulaire supérieure inversible à coefficients diagonaux positifs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(décomposition de Choleski).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 prouver ce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(a) On se propose de démontrer que cette matrice </w:t>
      </w:r>
      <m:oMath>
        <m:r>
          <m:rPr>
            <m:sty m:val="i"/>
          </m:rPr>
          <m:t>T</m:t>
        </m:r>
      </m:oMath>
      <w:r>
        <w:rPr/>
        <w:t xml:space="preserve"> est unique.</w:t>
      </w:r>
    </w:p>
    <w:p>
      <w:pPr>
        <w:spacing w:after="220" w:lineRule="auto"/>
      </w:pPr>
      <w:r>
        <w:rPr/>
        <w:t xml:space="preserve">Si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démontrer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conclure.</w:t>
      </w:r>
      <w:r>
        <w:rPr/>
        <w:br w:type="textWrapping"/>
      </w:r>
      <w:r>
        <w:rPr/>
        <w:t xml:space="preserve">On pourra admettre que si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est l'ensemble des matrices triangulaires supérieures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( </w:t>
      </w:r>
      <m:oMath>
        <m:r>
          <m:rPr>
            <m:scr m:val="script"/>
          </m:rPr>
          <m:t>T</m:t>
        </m:r>
      </m:oMath>
      <w:r>
        <w:rPr/>
        <w:t xml:space="preserve">,.) est un groupe.</w:t>
      </w:r>
      <w:r>
        <w:rPr/>
        <w:br w:type="textWrapping"/>
      </w:r>
      <w:r>
        <w:rPr/>
        <w:t xml:space="preserve">(b) Exemple :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compris entre 1 et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donner la décomposition de Choleski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 vérifier que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9. Un peu d'informatique</w:t>
      </w:r>
    </w:p>
    <w:p>
      <w:pPr>
        <w:spacing w:after="220" w:lineRule="auto"/>
      </w:pPr>
      <w:r>
        <w:rPr/>
        <w:t xml:space="preserve">Pour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écrire un algorithme en français permettant de trouver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la décomposition de Choleski.</w:t>
      </w:r>
      <w:r>
        <w:rPr/>
        <w:br w:type="textWrapping"/>
      </w:r>
      <w:r>
        <w:rPr/>
        <w:t xml:space="preserve">Entrer cet algorithme dans la calculatrice (on ne demande pas le programme sur la copie) puis, pour chacun des cas suivants, donner la matrice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49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14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8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21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6</m:t>
                          </m:r>
                        </m:e>
                      </m:mr>
                    </m:m>
                  </m:e>
                </m:d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26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70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Inégalité d'Hadamard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det</m:t>
        </m:r>
        <m:r>
          <m:rPr>
            <m:sty m:val="i"/>
          </m:rPr>
          <m:t>S</m:t>
        </m:r>
        <m:r>
          <m:rPr>
            <m:sty m:val="p"/>
          </m:rPr>
          <m:t>≤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Application : démontrer que pour toute matrice inversible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2025-08-29T16:04:43.197Z</dcterms:created>
  <dcterms:modified xsi:type="dcterms:W3CDTF">2025-08-29T16:04:43.197Z</dcterms:modified>
</cp:coreProperties>
</file>